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931A" w14:textId="1BD0F72B" w:rsidR="00B54E0A" w:rsidRPr="00B54E0A" w:rsidRDefault="00B54E0A">
      <w:pPr>
        <w:rPr>
          <w:b/>
          <w:bCs/>
        </w:rPr>
      </w:pPr>
      <w:r w:rsidRPr="00B54E0A">
        <w:rPr>
          <w:b/>
          <w:bCs/>
        </w:rPr>
        <w:t>Z inflacją chcemy walczyć</w:t>
      </w:r>
      <w:r>
        <w:rPr>
          <w:b/>
          <w:bCs/>
        </w:rPr>
        <w:t xml:space="preserve"> </w:t>
      </w:r>
      <w:r w:rsidRPr="00B54E0A">
        <w:rPr>
          <w:b/>
          <w:bCs/>
        </w:rPr>
        <w:t>obligacją</w:t>
      </w:r>
    </w:p>
    <w:p w14:paraId="7F939280" w14:textId="136AF5C0" w:rsidR="00B54E0A" w:rsidRDefault="00B54E0A">
      <w:pPr>
        <w:rPr>
          <w:b/>
          <w:bCs/>
        </w:rPr>
      </w:pPr>
      <w:r w:rsidRPr="00B54E0A">
        <w:rPr>
          <w:b/>
          <w:bCs/>
        </w:rPr>
        <w:t>Luty okazał się trzecim najlepszym w historii miesiącem pod względem sprzedaży detalicznych obligacji. Tajemnic</w:t>
      </w:r>
      <w:r w:rsidR="00875649">
        <w:rPr>
          <w:b/>
          <w:bCs/>
        </w:rPr>
        <w:t>a</w:t>
      </w:r>
      <w:r w:rsidRPr="00B54E0A">
        <w:rPr>
          <w:b/>
          <w:bCs/>
        </w:rPr>
        <w:t xml:space="preserve"> popularności tych papierów </w:t>
      </w:r>
      <w:r w:rsidR="00875649">
        <w:rPr>
          <w:b/>
          <w:bCs/>
        </w:rPr>
        <w:t>to</w:t>
      </w:r>
      <w:r w:rsidRPr="00B54E0A">
        <w:rPr>
          <w:b/>
          <w:bCs/>
        </w:rPr>
        <w:t xml:space="preserve"> niskie oprocentowanie </w:t>
      </w:r>
      <w:r w:rsidR="00875649">
        <w:rPr>
          <w:b/>
          <w:bCs/>
        </w:rPr>
        <w:t>lokat</w:t>
      </w:r>
      <w:r w:rsidRPr="00B54E0A">
        <w:rPr>
          <w:b/>
          <w:bCs/>
        </w:rPr>
        <w:t xml:space="preserve"> i nadzieja na ochronę </w:t>
      </w:r>
      <w:r w:rsidR="00875649">
        <w:rPr>
          <w:b/>
          <w:bCs/>
        </w:rPr>
        <w:t xml:space="preserve">oszczędności </w:t>
      </w:r>
      <w:r w:rsidRPr="00B54E0A">
        <w:rPr>
          <w:b/>
          <w:bCs/>
        </w:rPr>
        <w:t>przed inflacją.</w:t>
      </w:r>
      <w:r>
        <w:rPr>
          <w:b/>
          <w:bCs/>
        </w:rPr>
        <w:t xml:space="preserve"> Niestety często płonna.</w:t>
      </w:r>
    </w:p>
    <w:p w14:paraId="1BB3BE31" w14:textId="10AAB8E7" w:rsidR="00B54E0A" w:rsidRDefault="0026348F">
      <w:r>
        <w:t xml:space="preserve">Ministrowi Finansów udało się w lutym sprzedać detaliczne papiery skarbowe za ponad 3 miliardy złotych. Jest to nie lada osiągnięcie. Wynik jest o prawie 1/3 lepszy niż rok wcześniej. Lutowy wynik jest też trzecim najlepszym miesięcznym wynikiem w historii i to pomimo faktu, że luty jest </w:t>
      </w:r>
      <w:r w:rsidR="00354792">
        <w:t xml:space="preserve">przecież </w:t>
      </w:r>
      <w:r>
        <w:t xml:space="preserve">najkrótszym miesiącem w roku. </w:t>
      </w:r>
    </w:p>
    <w:p w14:paraId="74B5F924" w14:textId="6F3B401C" w:rsidR="00354792" w:rsidRDefault="00354792">
      <w:r>
        <w:rPr>
          <w:noProof/>
        </w:rPr>
        <w:drawing>
          <wp:inline distT="0" distB="0" distL="0" distR="0" wp14:anchorId="4F176064" wp14:editId="4ED9BDA9">
            <wp:extent cx="5753100" cy="3081020"/>
            <wp:effectExtent l="0" t="0" r="0" b="50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87A8291" w14:textId="1C9C5377" w:rsidR="00AC44DF" w:rsidRPr="00AC44DF" w:rsidRDefault="00AC44DF">
      <w:pPr>
        <w:rPr>
          <w:b/>
          <w:bCs/>
        </w:rPr>
      </w:pPr>
      <w:r w:rsidRPr="00AC44DF">
        <w:rPr>
          <w:b/>
          <w:bCs/>
        </w:rPr>
        <w:t>Minister może szykować się na kolejne rekordy</w:t>
      </w:r>
    </w:p>
    <w:p w14:paraId="3F9F2D1C" w14:textId="6985B3A0" w:rsidR="000014DE" w:rsidRDefault="00AC44DF" w:rsidP="00AC44DF">
      <w:r>
        <w:t xml:space="preserve">Powody tego, że Polacy nie szczędzą pieniędzy na obligacje skarbowe są od dawna są znane. Doceniamy to, że można je łatwo kupić, kwota minimalnej inwestycji to 100 złotych, a ponadto gwarantem wypłaty środków jest Państwo. </w:t>
      </w:r>
      <w:r w:rsidR="000014DE">
        <w:t>Nie bez znaczenia jest też to, że ostatni rok to był czas, w którym Polacy zaoszczędzili najwięcej pieniędzy w historii, więc muszą coś z nimi zrobić.</w:t>
      </w:r>
    </w:p>
    <w:p w14:paraId="39690CE9" w14:textId="2999A112" w:rsidR="00AC44DF" w:rsidRDefault="00AC44DF" w:rsidP="00AC44DF">
      <w:r>
        <w:t xml:space="preserve">Od miesięcy na popularność papierów skarbowych bardzo mocno wpływa jednak fakt, że coraz gorsza jest oferta bankowych depozytów. Dziś – te standardowe – są niemal nieoprocentowane. Co prawda wciąż w bankach można znaleźć lokaty oprocentowane na 2-3% w skali roku, ale są one obarczone dodatkowymi wymaganiami i wybitnie limitowane. W przypadku obligacji skarbowych nie ma takich ograniczeń. To jest dziś najpewniej kluczowy powód popularności </w:t>
      </w:r>
      <w:r w:rsidR="00012AA0">
        <w:t xml:space="preserve">trzymiesięcznych </w:t>
      </w:r>
      <w:r>
        <w:t>papierów skarbowych.</w:t>
      </w:r>
    </w:p>
    <w:p w14:paraId="6F737D6D" w14:textId="37B6C87C" w:rsidR="00EE2662" w:rsidRDefault="00AC44DF">
      <w:r>
        <w:t xml:space="preserve">Ostatnie medialne doniesienia sugerują </w:t>
      </w:r>
      <w:r w:rsidR="000014DE">
        <w:t>ponadto</w:t>
      </w:r>
      <w:r>
        <w:t xml:space="preserve">, że w gmachu ministerstwa warto </w:t>
      </w:r>
      <w:r w:rsidR="000014DE">
        <w:t xml:space="preserve">już </w:t>
      </w:r>
      <w:r w:rsidR="00897E68">
        <w:t xml:space="preserve">zacząć </w:t>
      </w:r>
      <w:r>
        <w:t>chłodzić szampana. Jak bowiem mogliśmy przeczytać na łamach dziennika rzeczpospolita, czołowy bank rozważa wprowadzenie ujemnego oprocentowania depozytów. Łatwo wyobrazić sobie co zrobią zirytowani taką sytuacją klienci. Część z nich weźmie swoje pieniądze i pójdzie z nimi do konkurencji</w:t>
      </w:r>
      <w:r w:rsidR="00282564">
        <w:t>. I</w:t>
      </w:r>
      <w:r>
        <w:t xml:space="preserve">nni po prostu wycofają </w:t>
      </w:r>
      <w:r w:rsidR="00107CD2">
        <w:t>środki</w:t>
      </w:r>
      <w:r>
        <w:t xml:space="preserve"> z konta i zdeponują je w przysłowiowej skarpecie, a kolejni kupią za swoje oszczędności złoto. Bez wątpienia w gronie </w:t>
      </w:r>
      <w:r w:rsidR="00282564">
        <w:t xml:space="preserve">osób zniechęconych do bankowych depozytów </w:t>
      </w:r>
      <w:r>
        <w:t>znajdzie się też grupa, która zainwestuje w fundusze inwestycyjne, mieszkani</w:t>
      </w:r>
      <w:r w:rsidR="00282564">
        <w:t>a</w:t>
      </w:r>
      <w:r>
        <w:t xml:space="preserve"> na wynajem lub detaliczne obligacje skarbowe właśnie.</w:t>
      </w:r>
    </w:p>
    <w:p w14:paraId="1F855DF2" w14:textId="025854CC" w:rsidR="000014DE" w:rsidRPr="000014DE" w:rsidRDefault="000014DE">
      <w:pPr>
        <w:rPr>
          <w:b/>
          <w:bCs/>
        </w:rPr>
      </w:pPr>
      <w:r w:rsidRPr="000014DE">
        <w:rPr>
          <w:b/>
          <w:bCs/>
        </w:rPr>
        <w:lastRenderedPageBreak/>
        <w:t>Większość obligacji przegra z inflacją</w:t>
      </w:r>
    </w:p>
    <w:p w14:paraId="0310DAA7" w14:textId="6EF70C5A" w:rsidR="000014DE" w:rsidRDefault="000014DE" w:rsidP="000014DE">
      <w:r>
        <w:t xml:space="preserve">Ważnym powodem popularności detalicznych papierów skarbowych jest też inflacja, czyli wzrost cen w </w:t>
      </w:r>
      <w:r w:rsidR="00282564">
        <w:t>s</w:t>
      </w:r>
      <w:r>
        <w:t>klepach, punktach usługowych czy na stacjach benzynowych. To powoduje, że za nasze oszczędności możemy kupić z czasem coraz mnie</w:t>
      </w:r>
      <w:r w:rsidR="00282564">
        <w:t>j</w:t>
      </w:r>
      <w:r>
        <w:t xml:space="preserve">. Przed inflacją właśnie - przynajmniej częściowo - mogą uchronić obligacje. </w:t>
      </w:r>
      <w:r w:rsidR="00282564">
        <w:t xml:space="preserve">Co do zasady udać się to </w:t>
      </w:r>
      <w:r>
        <w:t xml:space="preserve">może </w:t>
      </w:r>
      <w:r w:rsidR="00282564">
        <w:t xml:space="preserve">co najwyżej </w:t>
      </w:r>
      <w:r>
        <w:t>wtedy</w:t>
      </w:r>
      <w:r w:rsidR="00282564">
        <w:t>,</w:t>
      </w:r>
      <w:r>
        <w:t xml:space="preserve"> gdy kupimy papiery co najmniej czteroletnie. Wszystko dlatego, że ich oprocentowanie zależy w dużej mierze od tego jak szybko rosną ceny w sklepach. Dzięki tej indeksacji inflacją mamy szanse na to, że nasze pieniądze będą realnie zyskiwać na wartości. Papiery, w przypadku których indeksacja może uchronić siłę nabywczą naszych oszczędności</w:t>
      </w:r>
      <w:r w:rsidR="00282564">
        <w:t>,</w:t>
      </w:r>
      <w:r>
        <w:t xml:space="preserve"> odpowiadały w lutym br. za 41,5% sprzedaży. </w:t>
      </w:r>
      <w:r w:rsidR="00282564">
        <w:t xml:space="preserve">Na </w:t>
      </w:r>
      <w:r>
        <w:t>papier</w:t>
      </w:r>
      <w:r w:rsidR="00282564">
        <w:t>y</w:t>
      </w:r>
      <w:r>
        <w:t xml:space="preserve"> - które wg prognoz </w:t>
      </w:r>
      <w:r w:rsidR="00282564">
        <w:t xml:space="preserve">- </w:t>
      </w:r>
      <w:r>
        <w:t>dadzą zyski poniżej inflacji</w:t>
      </w:r>
      <w:r w:rsidR="00282564">
        <w:t>,</w:t>
      </w:r>
      <w:r>
        <w:t xml:space="preserve"> przypadła więc ponad połowa </w:t>
      </w:r>
      <w:r w:rsidR="00282564">
        <w:t xml:space="preserve">lutowej </w:t>
      </w:r>
      <w:r>
        <w:t>sprzedaży</w:t>
      </w:r>
      <w:r w:rsidR="00282564">
        <w:t xml:space="preserve"> </w:t>
      </w:r>
      <w:r>
        <w:t xml:space="preserve">obligacji. </w:t>
      </w:r>
    </w:p>
    <w:p w14:paraId="2295E5F2" w14:textId="77777777" w:rsidR="00EE2662" w:rsidRDefault="00354792" w:rsidP="000014DE">
      <w:r>
        <w:rPr>
          <w:noProof/>
        </w:rPr>
        <w:drawing>
          <wp:inline distT="0" distB="0" distL="0" distR="0" wp14:anchorId="38C4579F" wp14:editId="7426810D">
            <wp:extent cx="5760720" cy="3590925"/>
            <wp:effectExtent l="0" t="0" r="0" b="952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D750EE39-BA88-4377-9E3C-E8C0977FC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63F9C3" w14:textId="0AFEC77F" w:rsidR="00AC44DF" w:rsidRDefault="000014DE" w:rsidP="000014DE">
      <w:r>
        <w:t xml:space="preserve">Przy tym nawet w przypadku papierów cztero- czy dziesięcioletnich nikt nie gwarantuje nam realnych zysków. Wszystko dlatego, że zyski z obligacji są opodatkowane. I to właśnie podatek w przypadku prawie wszystkich obligacji może skonsumować realny zysk, gdy inflacja przekroczy poziom 3-5%. Gdy ceny w sklepach będą rosły w co najmniej takim tempie, to nawet cztero- czy dziesięcioletnie obligacje mogą po uwzględnieniu podatku i inflacji przynieść nam realne straty. Niestety </w:t>
      </w:r>
      <w:r w:rsidR="00282564">
        <w:t xml:space="preserve">najnowsza </w:t>
      </w:r>
      <w:r>
        <w:t>projekcja przygotowana przez NBP sugeruje, że taki scenariusz jest prawdopodobny.</w:t>
      </w:r>
    </w:p>
    <w:p w14:paraId="21C11DF1" w14:textId="15ACC5DB" w:rsidR="000014DE" w:rsidRPr="0026348F" w:rsidRDefault="00354792" w:rsidP="000014DE">
      <w:r>
        <w:t>Bartosz Turek, główny analityk HRE Investments</w:t>
      </w:r>
    </w:p>
    <w:sectPr w:rsidR="000014DE" w:rsidRPr="0026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0A"/>
    <w:rsid w:val="0000064B"/>
    <w:rsid w:val="000014DE"/>
    <w:rsid w:val="00012AA0"/>
    <w:rsid w:val="00107CD2"/>
    <w:rsid w:val="0026348F"/>
    <w:rsid w:val="00282564"/>
    <w:rsid w:val="00354792"/>
    <w:rsid w:val="00875649"/>
    <w:rsid w:val="00897E68"/>
    <w:rsid w:val="00AC44DF"/>
    <w:rsid w:val="00B54E0A"/>
    <w:rsid w:val="00ED13F1"/>
    <w:rsid w:val="00E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D707"/>
  <w15:chartTrackingRefBased/>
  <w15:docId w15:val="{5550239B-8807-43C0-A7F3-B37C4E2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2021%2003%2012%20Oblihacje\2020%2011%2012%20Sprzeda&#380;%20obligacji%20skarbowych%20(version%201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2021%2003%2012%20Oblihacje\2020%2011%2012%20Oprocentowanie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Sprzedaż</a:t>
            </a:r>
            <a:r>
              <a:rPr lang="pl-PL" b="1" baseline="0"/>
              <a:t> detalicznych obligacji skarbowych (w mln zł)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Arkusz1!$C$3</c:f>
              <c:strCache>
                <c:ptCount val="1"/>
                <c:pt idx="0">
                  <c:v>Zamiana</c:v>
                </c:pt>
              </c:strCache>
            </c:strRef>
          </c:tx>
          <c:spPr>
            <a:solidFill>
              <a:srgbClr val="222839"/>
            </a:solidFill>
            <a:ln>
              <a:noFill/>
            </a:ln>
            <a:effectLst/>
          </c:spPr>
          <c:invertIfNegative val="0"/>
          <c:cat>
            <c:numRef>
              <c:f>Arkusz1!$A$31:$A$77</c:f>
              <c:numCache>
                <c:formatCode>mmm\-yy</c:formatCode>
                <c:ptCount val="47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  <c:pt idx="13">
                  <c:v>43221</c:v>
                </c:pt>
                <c:pt idx="14">
                  <c:v>43252</c:v>
                </c:pt>
                <c:pt idx="15">
                  <c:v>43282</c:v>
                </c:pt>
                <c:pt idx="16">
                  <c:v>43313</c:v>
                </c:pt>
                <c:pt idx="17">
                  <c:v>43344</c:v>
                </c:pt>
                <c:pt idx="18">
                  <c:v>43374</c:v>
                </c:pt>
                <c:pt idx="19">
                  <c:v>43405</c:v>
                </c:pt>
                <c:pt idx="20">
                  <c:v>43435</c:v>
                </c:pt>
                <c:pt idx="21">
                  <c:v>43466</c:v>
                </c:pt>
                <c:pt idx="22">
                  <c:v>43497</c:v>
                </c:pt>
                <c:pt idx="23">
                  <c:v>43525</c:v>
                </c:pt>
                <c:pt idx="24">
                  <c:v>43556</c:v>
                </c:pt>
                <c:pt idx="25">
                  <c:v>43586</c:v>
                </c:pt>
                <c:pt idx="26">
                  <c:v>43617</c:v>
                </c:pt>
                <c:pt idx="27">
                  <c:v>43647</c:v>
                </c:pt>
                <c:pt idx="28">
                  <c:v>43678</c:v>
                </c:pt>
                <c:pt idx="29">
                  <c:v>43709</c:v>
                </c:pt>
                <c:pt idx="30">
                  <c:v>43739</c:v>
                </c:pt>
                <c:pt idx="31">
                  <c:v>43770</c:v>
                </c:pt>
                <c:pt idx="32">
                  <c:v>43800</c:v>
                </c:pt>
                <c:pt idx="33">
                  <c:v>43831</c:v>
                </c:pt>
                <c:pt idx="34">
                  <c:v>43862</c:v>
                </c:pt>
                <c:pt idx="35">
                  <c:v>43891</c:v>
                </c:pt>
                <c:pt idx="36">
                  <c:v>43922</c:v>
                </c:pt>
                <c:pt idx="37">
                  <c:v>43952</c:v>
                </c:pt>
                <c:pt idx="38">
                  <c:v>43983</c:v>
                </c:pt>
                <c:pt idx="39">
                  <c:v>44013</c:v>
                </c:pt>
                <c:pt idx="40">
                  <c:v>44044</c:v>
                </c:pt>
                <c:pt idx="41">
                  <c:v>44075</c:v>
                </c:pt>
                <c:pt idx="42">
                  <c:v>44105</c:v>
                </c:pt>
                <c:pt idx="43">
                  <c:v>44136</c:v>
                </c:pt>
                <c:pt idx="44">
                  <c:v>44166</c:v>
                </c:pt>
                <c:pt idx="45">
                  <c:v>44197</c:v>
                </c:pt>
                <c:pt idx="46">
                  <c:v>44228</c:v>
                </c:pt>
              </c:numCache>
            </c:numRef>
          </c:cat>
          <c:val>
            <c:numRef>
              <c:f>Arkusz1!$C$31:$C$77</c:f>
              <c:numCache>
                <c:formatCode>#\ ##0.0</c:formatCode>
                <c:ptCount val="47"/>
                <c:pt idx="0">
                  <c:v>108.61699999999999</c:v>
                </c:pt>
                <c:pt idx="1">
                  <c:v>127.90369999999999</c:v>
                </c:pt>
                <c:pt idx="2">
                  <c:v>113.3087</c:v>
                </c:pt>
                <c:pt idx="3">
                  <c:v>124.27</c:v>
                </c:pt>
                <c:pt idx="4">
                  <c:v>167.18670000000003</c:v>
                </c:pt>
                <c:pt idx="5">
                  <c:v>169.82819999999998</c:v>
                </c:pt>
                <c:pt idx="6">
                  <c:v>147.17320000000001</c:v>
                </c:pt>
                <c:pt idx="7">
                  <c:v>191.4136</c:v>
                </c:pt>
                <c:pt idx="8">
                  <c:v>223.6028</c:v>
                </c:pt>
                <c:pt idx="9">
                  <c:v>252.78640000000001</c:v>
                </c:pt>
                <c:pt idx="10">
                  <c:v>412.53200000000004</c:v>
                </c:pt>
                <c:pt idx="11">
                  <c:v>234.77339999999998</c:v>
                </c:pt>
                <c:pt idx="12">
                  <c:v>227.4228</c:v>
                </c:pt>
                <c:pt idx="13">
                  <c:v>191.3614</c:v>
                </c:pt>
                <c:pt idx="14">
                  <c:v>183.3321</c:v>
                </c:pt>
                <c:pt idx="15">
                  <c:v>330.83659999999998</c:v>
                </c:pt>
                <c:pt idx="16">
                  <c:v>280.99240000000003</c:v>
                </c:pt>
                <c:pt idx="17">
                  <c:v>255.93380000000002</c:v>
                </c:pt>
                <c:pt idx="18">
                  <c:v>646.93270000000007</c:v>
                </c:pt>
                <c:pt idx="19">
                  <c:v>261.96839999999997</c:v>
                </c:pt>
                <c:pt idx="20">
                  <c:v>251.01579999999998</c:v>
                </c:pt>
                <c:pt idx="21">
                  <c:v>295.45690000000002</c:v>
                </c:pt>
                <c:pt idx="22">
                  <c:v>239.96639999999999</c:v>
                </c:pt>
                <c:pt idx="23">
                  <c:v>247.72000000000003</c:v>
                </c:pt>
                <c:pt idx="24">
                  <c:v>336.09140000000002</c:v>
                </c:pt>
                <c:pt idx="25">
                  <c:v>231.11569999999998</c:v>
                </c:pt>
                <c:pt idx="26">
                  <c:v>288.52879999999999</c:v>
                </c:pt>
                <c:pt idx="27" formatCode="General">
                  <c:v>326.48809999999997</c:v>
                </c:pt>
                <c:pt idx="28" formatCode="General">
                  <c:v>297</c:v>
                </c:pt>
                <c:pt idx="29" formatCode="General">
                  <c:v>259.41829999999999</c:v>
                </c:pt>
                <c:pt idx="30">
                  <c:v>322.27019999999999</c:v>
                </c:pt>
                <c:pt idx="31">
                  <c:v>300.76850000000002</c:v>
                </c:pt>
                <c:pt idx="32">
                  <c:v>326.05899999999997</c:v>
                </c:pt>
                <c:pt idx="33">
                  <c:v>382.56119999999999</c:v>
                </c:pt>
                <c:pt idx="34" formatCode="General">
                  <c:v>477.26650000000001</c:v>
                </c:pt>
                <c:pt idx="35">
                  <c:v>351.57530000000003</c:v>
                </c:pt>
                <c:pt idx="36">
                  <c:v>347.93020000000001</c:v>
                </c:pt>
                <c:pt idx="37">
                  <c:v>232.1345</c:v>
                </c:pt>
                <c:pt idx="38">
                  <c:v>209.58399999999997</c:v>
                </c:pt>
                <c:pt idx="39">
                  <c:v>423.5677</c:v>
                </c:pt>
                <c:pt idx="40">
                  <c:v>268.20859999999999</c:v>
                </c:pt>
                <c:pt idx="41" formatCode="General">
                  <c:v>314.37110000000001</c:v>
                </c:pt>
                <c:pt idx="42">
                  <c:v>711.20749999999998</c:v>
                </c:pt>
                <c:pt idx="43">
                  <c:v>340.99979999999999</c:v>
                </c:pt>
                <c:pt idx="44">
                  <c:v>493.02639999999997</c:v>
                </c:pt>
                <c:pt idx="45">
                  <c:v>617.5082000000001</c:v>
                </c:pt>
                <c:pt idx="46" formatCode="General">
                  <c:v>567.38809999999989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A-4A37-A514-AC70DCD61B0B}"/>
            </c:ext>
          </c:extLst>
        </c:ser>
        <c:ser>
          <c:idx val="1"/>
          <c:order val="1"/>
          <c:tx>
            <c:strRef>
              <c:f>Arkusz1!$D$3</c:f>
              <c:strCache>
                <c:ptCount val="1"/>
                <c:pt idx="0">
                  <c:v>Nowa sprzedaż</c:v>
                </c:pt>
              </c:strCache>
            </c:strRef>
          </c:tx>
          <c:spPr>
            <a:solidFill>
              <a:srgbClr val="D08C5F"/>
            </a:solidFill>
            <a:ln>
              <a:noFill/>
            </a:ln>
            <a:effectLst/>
          </c:spPr>
          <c:invertIfNegative val="0"/>
          <c:dPt>
            <c:idx val="62"/>
            <c:invertIfNegative val="0"/>
            <c:bubble3D val="0"/>
            <c:spPr>
              <a:solidFill>
                <a:srgbClr val="D08C5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68A-4A37-A514-AC70DCD61B0B}"/>
              </c:ext>
            </c:extLst>
          </c:dPt>
          <c:cat>
            <c:numRef>
              <c:f>Arkusz1!$A$31:$A$77</c:f>
              <c:numCache>
                <c:formatCode>mmm\-yy</c:formatCode>
                <c:ptCount val="47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  <c:pt idx="13">
                  <c:v>43221</c:v>
                </c:pt>
                <c:pt idx="14">
                  <c:v>43252</c:v>
                </c:pt>
                <c:pt idx="15">
                  <c:v>43282</c:v>
                </c:pt>
                <c:pt idx="16">
                  <c:v>43313</c:v>
                </c:pt>
                <c:pt idx="17">
                  <c:v>43344</c:v>
                </c:pt>
                <c:pt idx="18">
                  <c:v>43374</c:v>
                </c:pt>
                <c:pt idx="19">
                  <c:v>43405</c:v>
                </c:pt>
                <c:pt idx="20">
                  <c:v>43435</c:v>
                </c:pt>
                <c:pt idx="21">
                  <c:v>43466</c:v>
                </c:pt>
                <c:pt idx="22">
                  <c:v>43497</c:v>
                </c:pt>
                <c:pt idx="23">
                  <c:v>43525</c:v>
                </c:pt>
                <c:pt idx="24">
                  <c:v>43556</c:v>
                </c:pt>
                <c:pt idx="25">
                  <c:v>43586</c:v>
                </c:pt>
                <c:pt idx="26">
                  <c:v>43617</c:v>
                </c:pt>
                <c:pt idx="27">
                  <c:v>43647</c:v>
                </c:pt>
                <c:pt idx="28">
                  <c:v>43678</c:v>
                </c:pt>
                <c:pt idx="29">
                  <c:v>43709</c:v>
                </c:pt>
                <c:pt idx="30">
                  <c:v>43739</c:v>
                </c:pt>
                <c:pt idx="31">
                  <c:v>43770</c:v>
                </c:pt>
                <c:pt idx="32">
                  <c:v>43800</c:v>
                </c:pt>
                <c:pt idx="33">
                  <c:v>43831</c:v>
                </c:pt>
                <c:pt idx="34">
                  <c:v>43862</c:v>
                </c:pt>
                <c:pt idx="35">
                  <c:v>43891</c:v>
                </c:pt>
                <c:pt idx="36">
                  <c:v>43922</c:v>
                </c:pt>
                <c:pt idx="37">
                  <c:v>43952</c:v>
                </c:pt>
                <c:pt idx="38">
                  <c:v>43983</c:v>
                </c:pt>
                <c:pt idx="39">
                  <c:v>44013</c:v>
                </c:pt>
                <c:pt idx="40">
                  <c:v>44044</c:v>
                </c:pt>
                <c:pt idx="41">
                  <c:v>44075</c:v>
                </c:pt>
                <c:pt idx="42">
                  <c:v>44105</c:v>
                </c:pt>
                <c:pt idx="43">
                  <c:v>44136</c:v>
                </c:pt>
                <c:pt idx="44">
                  <c:v>44166</c:v>
                </c:pt>
                <c:pt idx="45">
                  <c:v>44197</c:v>
                </c:pt>
                <c:pt idx="46">
                  <c:v>44228</c:v>
                </c:pt>
              </c:numCache>
            </c:numRef>
          </c:cat>
          <c:val>
            <c:numRef>
              <c:f>Arkusz1!$D$31:$D$77</c:f>
              <c:numCache>
                <c:formatCode>#\ ##0.0</c:formatCode>
                <c:ptCount val="47"/>
                <c:pt idx="0">
                  <c:v>407.71130000000005</c:v>
                </c:pt>
                <c:pt idx="1">
                  <c:v>471.57680000000005</c:v>
                </c:pt>
                <c:pt idx="2">
                  <c:v>361.27910000000003</c:v>
                </c:pt>
                <c:pt idx="3">
                  <c:v>368.1687</c:v>
                </c:pt>
                <c:pt idx="4">
                  <c:v>403.04539999999992</c:v>
                </c:pt>
                <c:pt idx="5">
                  <c:v>296.34810000000004</c:v>
                </c:pt>
                <c:pt idx="6">
                  <c:v>755.1853000000001</c:v>
                </c:pt>
                <c:pt idx="7">
                  <c:v>564.43520000000001</c:v>
                </c:pt>
                <c:pt idx="8">
                  <c:v>470.18190000000004</c:v>
                </c:pt>
                <c:pt idx="9">
                  <c:v>723.57999999999993</c:v>
                </c:pt>
                <c:pt idx="10">
                  <c:v>675.37520000000006</c:v>
                </c:pt>
                <c:pt idx="11">
                  <c:v>629.35699999999997</c:v>
                </c:pt>
                <c:pt idx="12">
                  <c:v>612.10670000000005</c:v>
                </c:pt>
                <c:pt idx="13">
                  <c:v>660.99869999999999</c:v>
                </c:pt>
                <c:pt idx="14">
                  <c:v>994.2251</c:v>
                </c:pt>
                <c:pt idx="15">
                  <c:v>762.25139999999999</c:v>
                </c:pt>
                <c:pt idx="16">
                  <c:v>762.30739999999992</c:v>
                </c:pt>
                <c:pt idx="17">
                  <c:v>727.79390000000001</c:v>
                </c:pt>
                <c:pt idx="18">
                  <c:v>869.42959999999994</c:v>
                </c:pt>
                <c:pt idx="19">
                  <c:v>928.28590000000008</c:v>
                </c:pt>
                <c:pt idx="20">
                  <c:v>830.81450000000029</c:v>
                </c:pt>
                <c:pt idx="21">
                  <c:v>834.71609999999998</c:v>
                </c:pt>
                <c:pt idx="22">
                  <c:v>740.24749999999995</c:v>
                </c:pt>
                <c:pt idx="23">
                  <c:v>762.00779999999997</c:v>
                </c:pt>
                <c:pt idx="24">
                  <c:v>810.93370000000004</c:v>
                </c:pt>
                <c:pt idx="25">
                  <c:v>1011.5255000000001</c:v>
                </c:pt>
                <c:pt idx="26">
                  <c:v>1283.556</c:v>
                </c:pt>
                <c:pt idx="27">
                  <c:v>1244.7429999999999</c:v>
                </c:pt>
                <c:pt idx="28">
                  <c:v>1453.4</c:v>
                </c:pt>
                <c:pt idx="29">
                  <c:v>1313.9839999999999</c:v>
                </c:pt>
                <c:pt idx="30">
                  <c:v>1649.6512</c:v>
                </c:pt>
                <c:pt idx="31">
                  <c:v>1391.3081000000002</c:v>
                </c:pt>
                <c:pt idx="32">
                  <c:v>1319.9795000000001</c:v>
                </c:pt>
                <c:pt idx="33">
                  <c:v>2105.3332999999998</c:v>
                </c:pt>
                <c:pt idx="34">
                  <c:v>1815.6412000000003</c:v>
                </c:pt>
                <c:pt idx="35">
                  <c:v>2027.8755000000001</c:v>
                </c:pt>
                <c:pt idx="36">
                  <c:v>5079.1306000000004</c:v>
                </c:pt>
                <c:pt idx="37">
                  <c:v>653.69230000000005</c:v>
                </c:pt>
                <c:pt idx="38">
                  <c:v>1041.3338999999999</c:v>
                </c:pt>
                <c:pt idx="39">
                  <c:v>1951.3670999999999</c:v>
                </c:pt>
                <c:pt idx="40">
                  <c:v>1617.6113</c:v>
                </c:pt>
                <c:pt idx="41">
                  <c:v>1925.3005000000001</c:v>
                </c:pt>
                <c:pt idx="42">
                  <c:v>2015.6842999999999</c:v>
                </c:pt>
                <c:pt idx="43">
                  <c:v>1625.145</c:v>
                </c:pt>
                <c:pt idx="44">
                  <c:v>1980.8986000000002</c:v>
                </c:pt>
                <c:pt idx="45">
                  <c:v>2545.9584</c:v>
                </c:pt>
                <c:pt idx="46">
                  <c:v>2469.3561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8A-4A37-A514-AC70DCD61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80285312"/>
        <c:axId val="480284136"/>
      </c:barChart>
      <c:dateAx>
        <c:axId val="4802853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0284136"/>
        <c:crosses val="autoZero"/>
        <c:auto val="1"/>
        <c:lblOffset val="100"/>
        <c:baseTimeUnit val="months"/>
        <c:majorUnit val="2"/>
        <c:majorTimeUnit val="months"/>
      </c:dateAx>
      <c:valAx>
        <c:axId val="48028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028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91480054354901"/>
          <c:y val="0.87686712720253346"/>
          <c:w val="0.3014420803782506"/>
          <c:h val="6.95522529498549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632466483895155E-2"/>
          <c:y val="0.19171750134149931"/>
          <c:w val="0.89625855591580461"/>
          <c:h val="0.59879342002653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Arkusz1!$C$4</c:f>
              <c:strCache>
                <c:ptCount val="1"/>
                <c:pt idx="0">
                  <c:v>Spodziewany zysk w skali roku</c:v>
                </c:pt>
              </c:strCache>
            </c:strRef>
          </c:tx>
          <c:spPr>
            <a:solidFill>
              <a:srgbClr val="D08C5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Arkusz1!$B$5:$B$12</c:f>
              <c:strCache>
                <c:ptCount val="8"/>
                <c:pt idx="0">
                  <c:v>Lokata (1Y)</c:v>
                </c:pt>
                <c:pt idx="1">
                  <c:v>Obligacja 3-miesięcza</c:v>
                </c:pt>
                <c:pt idx="2">
                  <c:v>Obligacja 2-letnia</c:v>
                </c:pt>
                <c:pt idx="3">
                  <c:v>Obligacja 3-letnia</c:v>
                </c:pt>
                <c:pt idx="4">
                  <c:v>Obligacja 4-letnia</c:v>
                </c:pt>
                <c:pt idx="5">
                  <c:v>Obligacja 6-letnia</c:v>
                </c:pt>
                <c:pt idx="6">
                  <c:v>Obligacja 10-letnia</c:v>
                </c:pt>
                <c:pt idx="7">
                  <c:v>Obligacja 12-letnia</c:v>
                </c:pt>
              </c:strCache>
            </c:strRef>
          </c:cat>
          <c:val>
            <c:numRef>
              <c:f>Arkusz1!$C$5:$C$12</c:f>
              <c:numCache>
                <c:formatCode>0.00%</c:formatCode>
                <c:ptCount val="8"/>
                <c:pt idx="0">
                  <c:v>1.3769999999999616E-3</c:v>
                </c:pt>
                <c:pt idx="1">
                  <c:v>4.0500000000001091E-3</c:v>
                </c:pt>
                <c:pt idx="2">
                  <c:v>8.107633142413917E-3</c:v>
                </c:pt>
                <c:pt idx="3">
                  <c:v>6.4496191622407384E-3</c:v>
                </c:pt>
                <c:pt idx="4">
                  <c:v>2.4153360415396508E-2</c:v>
                </c:pt>
                <c:pt idx="5">
                  <c:v>2.8830511087378996E-2</c:v>
                </c:pt>
                <c:pt idx="6">
                  <c:v>2.8261752255767103E-2</c:v>
                </c:pt>
                <c:pt idx="7">
                  <c:v>3.2725501958705383E-2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A8-40B8-9B4E-0C89C96C0F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7619440"/>
        <c:axId val="1820805056"/>
      </c:barChart>
      <c:catAx>
        <c:axId val="82761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20805056"/>
        <c:crosses val="autoZero"/>
        <c:auto val="1"/>
        <c:lblAlgn val="ctr"/>
        <c:lblOffset val="100"/>
        <c:noMultiLvlLbl val="0"/>
      </c:catAx>
      <c:valAx>
        <c:axId val="182080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2761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8922603507452824"/>
          <c:w val="1"/>
          <c:h val="5.3191874857597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0.00355</cdr:x>
      <cdr:y>0.93199</cdr:y>
    </cdr:from>
    <cdr:to>
      <cdr:x>1</cdr:x>
      <cdr:y>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9050" y="2871788"/>
          <a:ext cx="53530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</a:t>
          </a:r>
          <a:r>
            <a:rPr lang="pl-PL" sz="900" baseline="0"/>
            <a:t> HRE Investments na podstawie danych Ministerstwa Finansów</a:t>
          </a:r>
          <a:endParaRPr lang="pl-PL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0.99466</cdr:x>
      <cdr:y>0.16821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id="{C72F0343-BC1E-44E5-9688-4A9947AFFEDF}"/>
            </a:ext>
          </a:extLst>
        </cdr:cNvPr>
        <cdr:cNvSpPr txBox="1"/>
      </cdr:nvSpPr>
      <cdr:spPr>
        <a:xfrm xmlns:a="http://schemas.openxmlformats.org/drawingml/2006/main">
          <a:off x="0" y="0"/>
          <a:ext cx="6428203" cy="677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400" b="1"/>
            <a:t>Przewidywane</a:t>
          </a:r>
          <a:r>
            <a:rPr lang="pl-PL" sz="1400" b="1" baseline="0"/>
            <a:t> oprocentowanie bezpiecznych form lokowania kapitału </a:t>
          </a:r>
        </a:p>
        <a:p xmlns:a="http://schemas.openxmlformats.org/drawingml/2006/main">
          <a:pPr algn="ctr"/>
          <a:r>
            <a:rPr lang="pl-PL" sz="1400" b="1" baseline="0"/>
            <a:t>(średnie oprocentowanie w skali roku po opodatkowaniu)</a:t>
          </a:r>
          <a:endParaRPr lang="pl-PL" sz="1400" b="1"/>
        </a:p>
      </cdr:txBody>
    </cdr:sp>
  </cdr:relSizeAnchor>
  <cdr:relSizeAnchor xmlns:cdr="http://schemas.openxmlformats.org/drawingml/2006/chartDrawing">
    <cdr:from>
      <cdr:x>0.00147</cdr:x>
      <cdr:y>0.93617</cdr:y>
    </cdr:from>
    <cdr:to>
      <cdr:x>0.99706</cdr:x>
      <cdr:y>1</cdr:y>
    </cdr:to>
    <cdr:sp macro="" textlink="">
      <cdr:nvSpPr>
        <cdr:cNvPr id="3" name="pole tekstowe 2">
          <a:extLst xmlns:a="http://schemas.openxmlformats.org/drawingml/2006/main">
            <a:ext uri="{FF2B5EF4-FFF2-40B4-BE49-F238E27FC236}">
              <a16:creationId xmlns:a16="http://schemas.microsoft.com/office/drawing/2014/main" id="{0A056970-33AC-43DF-AC9A-994567AB3F1B}"/>
            </a:ext>
          </a:extLst>
        </cdr:cNvPr>
        <cdr:cNvSpPr txBox="1"/>
      </cdr:nvSpPr>
      <cdr:spPr>
        <a:xfrm xmlns:a="http://schemas.openxmlformats.org/drawingml/2006/main">
          <a:off x="9526" y="3771899"/>
          <a:ext cx="64579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Szacunki HRE Investments na podstawie danych NBP, MF,</a:t>
          </a:r>
          <a:r>
            <a:rPr lang="pl-PL" sz="900" baseline="0"/>
            <a:t> projekcji inflacji, kontraktów FRA i IRS (dane z 12.03.2021)</a:t>
          </a:r>
          <a:endParaRPr lang="pl-PL" sz="9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Turek</dc:creator>
  <cp:keywords/>
  <dc:description/>
  <cp:lastModifiedBy>Bartosz Turek</cp:lastModifiedBy>
  <cp:revision>10</cp:revision>
  <cp:lastPrinted>2021-03-12T10:09:00Z</cp:lastPrinted>
  <dcterms:created xsi:type="dcterms:W3CDTF">2021-03-12T09:04:00Z</dcterms:created>
  <dcterms:modified xsi:type="dcterms:W3CDTF">2021-03-12T10:25:00Z</dcterms:modified>
</cp:coreProperties>
</file>