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0E9D" w14:textId="61A43FCC" w:rsidR="002563C6" w:rsidRPr="00006C5E" w:rsidRDefault="00AF5247">
      <w:pPr>
        <w:rPr>
          <w:b/>
          <w:bCs/>
        </w:rPr>
      </w:pPr>
      <w:r>
        <w:rPr>
          <w:b/>
          <w:bCs/>
        </w:rPr>
        <w:t xml:space="preserve">W 2020 roku mieszkania zdrożały </w:t>
      </w:r>
      <w:r w:rsidR="00DA6AAC">
        <w:rPr>
          <w:b/>
          <w:bCs/>
        </w:rPr>
        <w:t xml:space="preserve">o </w:t>
      </w:r>
      <w:r w:rsidR="00A71D5B">
        <w:rPr>
          <w:b/>
          <w:bCs/>
        </w:rPr>
        <w:t xml:space="preserve">niecałe </w:t>
      </w:r>
      <w:r w:rsidR="00DA6AAC">
        <w:rPr>
          <w:b/>
          <w:bCs/>
        </w:rPr>
        <w:t>6</w:t>
      </w:r>
      <w:r>
        <w:rPr>
          <w:b/>
          <w:bCs/>
        </w:rPr>
        <w:t>%</w:t>
      </w:r>
    </w:p>
    <w:p w14:paraId="75588E51" w14:textId="3C67EFBB" w:rsidR="00006C5E" w:rsidRPr="00AF1449" w:rsidRDefault="00DA6AAC">
      <w:pPr>
        <w:rPr>
          <w:b/>
          <w:bCs/>
        </w:rPr>
      </w:pPr>
      <w:r>
        <w:rPr>
          <w:b/>
          <w:bCs/>
        </w:rPr>
        <w:t xml:space="preserve">Epidemia spowodowała, że wzrosty cen mieszkań spowolniły – sugerują dane NBP. </w:t>
      </w:r>
      <w:r w:rsidR="009330D4">
        <w:rPr>
          <w:b/>
          <w:bCs/>
        </w:rPr>
        <w:t xml:space="preserve">Ostatni kwartał przyniósł nawet </w:t>
      </w:r>
      <w:r w:rsidR="004A3B3E">
        <w:rPr>
          <w:b/>
          <w:bCs/>
        </w:rPr>
        <w:t xml:space="preserve">w niektórych miastach </w:t>
      </w:r>
      <w:r w:rsidR="009330D4">
        <w:rPr>
          <w:b/>
          <w:bCs/>
        </w:rPr>
        <w:t>skromną korektę. Wciąż jednak wzrosty cen przeważają</w:t>
      </w:r>
      <w:r w:rsidR="004A3B3E">
        <w:rPr>
          <w:b/>
          <w:bCs/>
        </w:rPr>
        <w:t xml:space="preserve"> i co cieszy – ceny rosną wolniej niż pensje Polaków</w:t>
      </w:r>
      <w:r w:rsidR="00006C5E" w:rsidRPr="00AF1449">
        <w:rPr>
          <w:b/>
          <w:bCs/>
        </w:rPr>
        <w:t xml:space="preserve">. </w:t>
      </w:r>
    </w:p>
    <w:p w14:paraId="514207D1" w14:textId="32A0C539" w:rsidR="00555F98" w:rsidRDefault="00AF5247" w:rsidP="00006C5E">
      <w:r>
        <w:t xml:space="preserve">Poznaliśmy właśnie najnowsze dane NBP na temat zmian cen mieszkań. </w:t>
      </w:r>
      <w:r w:rsidR="004A3B3E">
        <w:t>W czwartym kwartale ur. n</w:t>
      </w:r>
      <w:r w:rsidR="00AB7DA4">
        <w:t xml:space="preserve">a 7 największych rynkach przeciętna cena transakcyjna lokalu od dewelopera była o </w:t>
      </w:r>
      <w:r w:rsidR="009330D4">
        <w:t>7,5</w:t>
      </w:r>
      <w:r w:rsidR="00AB7DA4">
        <w:t xml:space="preserve">% wyższa niż rok wcześniej. W przypadku mieszkań </w:t>
      </w:r>
      <w:r w:rsidR="004A3B3E">
        <w:t>używanych w</w:t>
      </w:r>
      <w:r w:rsidR="00AB7DA4">
        <w:t xml:space="preserve">zrosty cen były </w:t>
      </w:r>
      <w:r w:rsidR="009330D4">
        <w:t>skromniejsze</w:t>
      </w:r>
      <w:r w:rsidR="00AB7DA4">
        <w:t xml:space="preserve">. </w:t>
      </w:r>
      <w:r w:rsidR="004A3B3E">
        <w:t xml:space="preserve">Za metr lokalu z drugiej ręki </w:t>
      </w:r>
      <w:r w:rsidR="00AB7DA4">
        <w:t xml:space="preserve">Polacy </w:t>
      </w:r>
      <w:r w:rsidR="004A3B3E">
        <w:t>płacili pod koniec 2020 roku o</w:t>
      </w:r>
      <w:r w:rsidR="00AB7DA4">
        <w:t xml:space="preserve"> </w:t>
      </w:r>
      <w:r w:rsidR="009330D4">
        <w:t>5,6</w:t>
      </w:r>
      <w:r w:rsidR="00AB7DA4">
        <w:t>%</w:t>
      </w:r>
      <w:r w:rsidR="004A3B3E">
        <w:t xml:space="preserve"> więcej niż w czwartym kwartale 2019 roku</w:t>
      </w:r>
      <w:r w:rsidR="00AB7DA4">
        <w:t>.</w:t>
      </w:r>
      <w:r w:rsidR="00555F98">
        <w:t xml:space="preserve"> </w:t>
      </w:r>
      <w:r w:rsidR="004A3B3E">
        <w:t>Są to dane uśrednione dla 7 największych rynków. W tej grupie znajduje się:</w:t>
      </w:r>
      <w:r w:rsidR="00555F98">
        <w:t xml:space="preserve"> Gdańs</w:t>
      </w:r>
      <w:r w:rsidR="004A3B3E">
        <w:t>k</w:t>
      </w:r>
      <w:r w:rsidR="00555F98">
        <w:t>, Gdyni</w:t>
      </w:r>
      <w:r w:rsidR="004A3B3E">
        <w:t>a</w:t>
      </w:r>
      <w:r w:rsidR="00555F98">
        <w:t>, Krak</w:t>
      </w:r>
      <w:r w:rsidR="004A3B3E">
        <w:t>ów</w:t>
      </w:r>
      <w:r w:rsidR="00555F98">
        <w:t>, Ł</w:t>
      </w:r>
      <w:r w:rsidR="004A3B3E">
        <w:t>ódź</w:t>
      </w:r>
      <w:r w:rsidR="00555F98">
        <w:t>, Pozna</w:t>
      </w:r>
      <w:r w:rsidR="004A3B3E">
        <w:t>ń</w:t>
      </w:r>
      <w:r w:rsidR="00555F98">
        <w:t>, Warszaw</w:t>
      </w:r>
      <w:r w:rsidR="004A3B3E">
        <w:t>a</w:t>
      </w:r>
      <w:r w:rsidR="00555F98">
        <w:t xml:space="preserve"> i Wrocław.</w:t>
      </w:r>
    </w:p>
    <w:p w14:paraId="091ADB38" w14:textId="6E454973" w:rsidR="000828AC" w:rsidRDefault="004A3B3E" w:rsidP="00006C5E">
      <w:r>
        <w:t xml:space="preserve">Szczególnie warte uwagi są dane na temat cen faktycznie płaconych za mieszkania, które dodatkowo są korygowane o jakość sprzedawanych lokali. </w:t>
      </w:r>
      <w:r w:rsidR="000828AC">
        <w:t xml:space="preserve">Mowa tu o tzw. indeksie hedonicznym, który analitycy NBP oszacowują dla rynku mieszkań używanych. Jest on o tyle ważny, że pokazuje „czystą” zmianę cen, która nie jest zaburzona tym, że Polacy w jednym okresie kupują mieszkania z wyższej półki (wtedy zwykła średnia cena transakcyjna poszłaby do góry), albo tym, że do mody wróciły bloki budowane za czasów PRL (wtedy zwykła średnia cena powinna spaść). </w:t>
      </w:r>
    </w:p>
    <w:p w14:paraId="45048519" w14:textId="6712E4A6" w:rsidR="00AB7DA4" w:rsidRDefault="000828AC" w:rsidP="00006C5E">
      <w:r>
        <w:t xml:space="preserve">Tym razem nie możemy jednak powiedzieć, że Polacy </w:t>
      </w:r>
      <w:r w:rsidR="00AA2889">
        <w:t>upodobali sobie szczególnie tanie lub szczególnie drogie nieruchomości. Okazuje się bowiem, że indeks hedoniczny dla 7 największych rynków wzrósł w ciągu roku z grubsza o tyle samo, o ile wzrosła też zwykła średnia cena transakcyjna mieszkań używanych, a więc o wspomniane wcześniej 5,6%.</w:t>
      </w:r>
      <w:r w:rsidR="00431E00">
        <w:t xml:space="preserve"> Jest to o tyle dobra informacja, że</w:t>
      </w:r>
      <w:r w:rsidR="00D16A24">
        <w:t xml:space="preserve"> wzrosty cen mieszkań wyraźnie spowolniły. W efekcie dane NBP sugerują, że mieszkania w największych miastach drożeją wolniej niż rosną pensje. Te w przedsiębiorstwach na bieżąco bada GUS. Dane za grudzień sugerują, że w ciągu roku wynagrodzenia Polaków wzrosły o 6,6%. </w:t>
      </w:r>
    </w:p>
    <w:p w14:paraId="4197BF94" w14:textId="7CEE82D5" w:rsidR="00555F98" w:rsidRDefault="00DA6AAC" w:rsidP="00006C5E">
      <w:r>
        <w:rPr>
          <w:noProof/>
        </w:rPr>
        <w:drawing>
          <wp:inline distT="0" distB="0" distL="0" distR="0" wp14:anchorId="72277FB4" wp14:editId="1D3EAFFD">
            <wp:extent cx="5461000" cy="3736975"/>
            <wp:effectExtent l="0" t="0" r="635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5283AA9-B775-4CCC-9412-CC8DE21F4F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51E2D5F" w14:textId="51BF896D" w:rsidR="005D3347" w:rsidRDefault="005D3347" w:rsidP="00006C5E">
      <w:r>
        <w:lastRenderedPageBreak/>
        <w:t>Co warto podkreślić, są to dane wstępne za wciąż niepełny okres. Bank centralny będzie je jeszcze rewidował przy okazji kolejnych publikacji</w:t>
      </w:r>
    </w:p>
    <w:p w14:paraId="6F2E1A15" w14:textId="0449CB01" w:rsidR="00AB7DA4" w:rsidRPr="00555F98" w:rsidRDefault="005D3347" w:rsidP="00006C5E">
      <w:pPr>
        <w:rPr>
          <w:b/>
          <w:bCs/>
        </w:rPr>
      </w:pPr>
      <w:r>
        <w:rPr>
          <w:b/>
          <w:bCs/>
        </w:rPr>
        <w:t>Wzrosty cen przeważają</w:t>
      </w:r>
    </w:p>
    <w:p w14:paraId="0A4F0345" w14:textId="0F3B7249" w:rsidR="00151D02" w:rsidRDefault="00431E00" w:rsidP="00006C5E">
      <w:r>
        <w:t xml:space="preserve">Sporo osób mogą też zainteresować dane </w:t>
      </w:r>
      <w:r w:rsidR="00D16A24">
        <w:t xml:space="preserve">na temat zmian cen w samej końcówce roku. Okazuje się bowiem, że za mieszkania używane na 7 największych rynkach trzeba było w czwartym kwartale płacić o 1,8% mniej niż w trzecim. </w:t>
      </w:r>
      <w:r w:rsidR="00004A10">
        <w:t>Jest to co prawda pojedynczy taki odczyt</w:t>
      </w:r>
      <w:r w:rsidR="00151D02">
        <w:t xml:space="preserve">, ale bez wątpienia </w:t>
      </w:r>
      <w:r w:rsidR="00004A10">
        <w:t xml:space="preserve">jest on </w:t>
      </w:r>
      <w:r w:rsidR="00151D02">
        <w:t xml:space="preserve">po myśli kupujących. </w:t>
      </w:r>
      <w:r w:rsidR="00004A10">
        <w:t xml:space="preserve">Co ciekawe na 16 rynków, które NBP bada, w 7 zanotowano spadki, a w 9 wzrosty indeksu badającego zmiany cen pomiędzy kwartałami czwartym i trzecim. </w:t>
      </w:r>
    </w:p>
    <w:p w14:paraId="6A16BFC6" w14:textId="28D42EDD" w:rsidR="00004A10" w:rsidRDefault="00151D02" w:rsidP="00006C5E">
      <w:r>
        <w:t xml:space="preserve">Przy tym trzeba mieć świadomość, że dane pokazane przez NBP jako te pochodzące z </w:t>
      </w:r>
      <w:r w:rsidR="005403C5">
        <w:t xml:space="preserve">końcówki roku </w:t>
      </w:r>
      <w:r>
        <w:t xml:space="preserve">są wstępne i będą jeszcze rewidowane. </w:t>
      </w:r>
      <w:r w:rsidR="00004A10">
        <w:t>Mniej jest też argumentów za tym</w:t>
      </w:r>
      <w:r>
        <w:t xml:space="preserve">, aby w kolejnych kwartałach wyniki miały być podobne. </w:t>
      </w:r>
      <w:r w:rsidR="00004A10">
        <w:t xml:space="preserve">O ile nie dojdzie do eskalacji problemów związanych z epidemią, to przeważać będą argumenty za wzrostami cen mieszkań. </w:t>
      </w:r>
    </w:p>
    <w:p w14:paraId="5CA79B35" w14:textId="1C9F1D19" w:rsidR="00151D02" w:rsidRDefault="00004A10" w:rsidP="00006C5E">
      <w:r>
        <w:t>Przecież w</w:t>
      </w:r>
      <w:r w:rsidR="000738EB">
        <w:t xml:space="preserve"> samym tylko styczniu mieliśmy</w:t>
      </w:r>
      <w:r w:rsidR="00151D02">
        <w:t xml:space="preserve"> 18-proc. wzrost popytu na kredyty mieszkaniow</w:t>
      </w:r>
      <w:r w:rsidR="000738EB">
        <w:t>e</w:t>
      </w:r>
      <w:r w:rsidR="005403C5">
        <w:t xml:space="preserve"> (dane BIK)</w:t>
      </w:r>
      <w:r w:rsidR="000738EB">
        <w:t xml:space="preserve"> i około 10-proc. wzrost </w:t>
      </w:r>
      <w:r w:rsidR="00151D02">
        <w:t xml:space="preserve">zainteresowania mieszkaniami </w:t>
      </w:r>
      <w:r>
        <w:t xml:space="preserve">w dużych miastach </w:t>
      </w:r>
      <w:r w:rsidR="000738EB">
        <w:t xml:space="preserve">sugerowany przez wyszukiwarkę Google. Ponadto wciąż </w:t>
      </w:r>
      <w:r>
        <w:t>niemal nieoprocentowane lokaty powodują, że wiele osób chce kupować mieszkania na wynajem</w:t>
      </w:r>
      <w:r w:rsidR="005403C5">
        <w:t xml:space="preserve">. Z drugiej strony </w:t>
      </w:r>
      <w:r>
        <w:t>przyzwoita sytuacja na rynku pracy</w:t>
      </w:r>
      <w:r w:rsidR="005403C5">
        <w:t>,</w:t>
      </w:r>
      <w:r>
        <w:t xml:space="preserve"> w powiązaniu z najtańszymi kredytami w historii powodują, że Polacy zaciągają kredyty mieszkaniowe. </w:t>
      </w: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131"/>
        <w:gridCol w:w="1784"/>
        <w:gridCol w:w="2131"/>
        <w:gridCol w:w="1784"/>
      </w:tblGrid>
      <w:tr w:rsidR="00D778EC" w:rsidRPr="00D778EC" w14:paraId="0BD9E260" w14:textId="77777777" w:rsidTr="00D778EC">
        <w:trPr>
          <w:trHeight w:val="300"/>
        </w:trPr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2EA79" w14:textId="77777777" w:rsidR="00D778EC" w:rsidRPr="00D778EC" w:rsidRDefault="00D778EC" w:rsidP="00D77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Ceny mieszkań w największych miastach</w:t>
            </w:r>
            <w:r w:rsidRPr="00D778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(IV kwartał 2020 r.)</w:t>
            </w:r>
          </w:p>
        </w:tc>
      </w:tr>
      <w:tr w:rsidR="00D778EC" w:rsidRPr="00D778EC" w14:paraId="47F5AD31" w14:textId="77777777" w:rsidTr="00D778EC">
        <w:trPr>
          <w:trHeight w:val="285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40CE3C1D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42E50A10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Mieszkania nowe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67BFE65F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Mieszkania używane</w:t>
            </w:r>
          </w:p>
        </w:tc>
      </w:tr>
      <w:tr w:rsidR="00D778EC" w:rsidRPr="00D778EC" w14:paraId="1EABC743" w14:textId="77777777" w:rsidTr="00D778EC">
        <w:trPr>
          <w:trHeight w:val="510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131C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65A3D8A2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Przeciętna cena transakcyjna 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59BAB948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Zmiana cen w ciągu roku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6B62F7B7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Przeciętna cena transakcyjna 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4EC60B49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Zmiana cen w ciągu roku*</w:t>
            </w:r>
          </w:p>
        </w:tc>
      </w:tr>
      <w:tr w:rsidR="00D778EC" w:rsidRPr="00D778EC" w14:paraId="34BB6DE8" w14:textId="77777777" w:rsidTr="00D778EC">
        <w:trPr>
          <w:trHeight w:val="285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823B7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364EFD2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(w zł za m kw.)</w:t>
            </w:r>
          </w:p>
        </w:tc>
        <w:tc>
          <w:tcPr>
            <w:tcW w:w="17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344B9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D08C5F"/>
            <w:vAlign w:val="center"/>
            <w:hideMark/>
          </w:tcPr>
          <w:p w14:paraId="0880287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(w zł za m kw.)</w:t>
            </w:r>
          </w:p>
        </w:tc>
        <w:tc>
          <w:tcPr>
            <w:tcW w:w="17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D9DCC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778EC" w:rsidRPr="00D778EC" w14:paraId="55C75575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42C1C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CE4F2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5 816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7E949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D7967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5 866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71CC3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</w:tr>
      <w:tr w:rsidR="00D778EC" w:rsidRPr="00D778EC" w14:paraId="18A5F91A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643A4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DD81F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6 665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90C87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28D22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5 698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D0F04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3%</w:t>
            </w:r>
          </w:p>
        </w:tc>
      </w:tr>
      <w:tr w:rsidR="00D778EC" w:rsidRPr="00D778EC" w14:paraId="75789C27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21C75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A8F52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9 401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8F5F5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0A88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8 874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ED61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4%</w:t>
            </w:r>
          </w:p>
        </w:tc>
      </w:tr>
      <w:tr w:rsidR="00D778EC" w:rsidRPr="00D778EC" w14:paraId="6FF682BF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B75E9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73B4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8 133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A894F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2661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7 906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3DB72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4%</w:t>
            </w:r>
          </w:p>
        </w:tc>
      </w:tr>
      <w:tr w:rsidR="00D778EC" w:rsidRPr="00D778EC" w14:paraId="2B60C479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2CD86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37C81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7 246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C06C6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CD6B0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5 376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4E20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11%</w:t>
            </w:r>
          </w:p>
        </w:tc>
      </w:tr>
      <w:tr w:rsidR="00D778EC" w:rsidRPr="00D778EC" w14:paraId="6A8D0607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E0ED4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BAFAF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5 920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FB027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5B15E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4 867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23DE3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7%</w:t>
            </w:r>
          </w:p>
        </w:tc>
      </w:tr>
      <w:tr w:rsidR="00D778EC" w:rsidRPr="00D778EC" w14:paraId="70AD5C3C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D2F35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8D6FA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8 685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BFCAE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95A1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8 118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28ECF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10%</w:t>
            </w:r>
          </w:p>
        </w:tc>
      </w:tr>
      <w:tr w:rsidR="00D778EC" w:rsidRPr="00D778EC" w14:paraId="44D9FA77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85D1D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8E9FE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6 849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5818D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7D49D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6 359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47570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10%</w:t>
            </w:r>
          </w:p>
        </w:tc>
      </w:tr>
      <w:tr w:rsidR="00D778EC" w:rsidRPr="00D778EC" w14:paraId="36022BFE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A8A95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370CA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6 624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AB633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C7A93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5 522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72E26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5%</w:t>
            </w:r>
          </w:p>
        </w:tc>
      </w:tr>
      <w:tr w:rsidR="00D778EC" w:rsidRPr="00D778EC" w14:paraId="6BAD94B8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E6DFE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E5E06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6 405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9E139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227C4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5 724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C5EC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4%</w:t>
            </w:r>
          </w:p>
        </w:tc>
      </w:tr>
      <w:tr w:rsidR="00D778EC" w:rsidRPr="00D778EC" w14:paraId="0187A644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F4429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6D9B3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5 970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A64C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9A580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5 497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EEC9A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-1%</w:t>
            </w:r>
          </w:p>
        </w:tc>
      </w:tr>
      <w:tr w:rsidR="00D778EC" w:rsidRPr="00D778EC" w14:paraId="4D3F94A3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23BC5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BCFD5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7 611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0E676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60CA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6 778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0C0C1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12%</w:t>
            </w:r>
          </w:p>
        </w:tc>
      </w:tr>
      <w:tr w:rsidR="00D778EC" w:rsidRPr="00D778EC" w14:paraId="5FEABE54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61A0B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1CFE6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6 146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14B00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70B6D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6 713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E38E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</w:tr>
      <w:tr w:rsidR="00D778EC" w:rsidRPr="00D778EC" w14:paraId="24BC20F7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47B73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0C9F0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7 199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FC9E4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0F12A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6 126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0C115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</w:tr>
      <w:tr w:rsidR="00D778EC" w:rsidRPr="00D778EC" w14:paraId="5C88593B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97181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45087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10 261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2561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E4ECE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10 072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21E7C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3%</w:t>
            </w:r>
          </w:p>
        </w:tc>
      </w:tr>
      <w:tr w:rsidR="00D778EC" w:rsidRPr="00D778EC" w14:paraId="5E0AA70A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412A2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BC7C3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8 233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B67E0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C9C4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7 973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4D19F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6%</w:t>
            </w:r>
          </w:p>
        </w:tc>
      </w:tr>
      <w:tr w:rsidR="00D778EC" w:rsidRPr="00D778EC" w14:paraId="51EFDAEC" w14:textId="77777777" w:rsidTr="00D778EC">
        <w:trPr>
          <w:trHeight w:val="28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70226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A4BA3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5 343 zł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49245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C23AE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4 767 zł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900B" w14:textId="77777777" w:rsidR="00D778EC" w:rsidRPr="00D778EC" w:rsidRDefault="00D778EC" w:rsidP="00D7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9%</w:t>
            </w:r>
          </w:p>
        </w:tc>
      </w:tr>
      <w:tr w:rsidR="00D778EC" w:rsidRPr="00D778EC" w14:paraId="36EEF1B7" w14:textId="77777777" w:rsidTr="00D778EC">
        <w:trPr>
          <w:trHeight w:val="285"/>
        </w:trPr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E8345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Na podstawie indeksu hedonicznego uwzględniającego jakość sprzedawanych mieszkań </w:t>
            </w:r>
          </w:p>
        </w:tc>
      </w:tr>
      <w:tr w:rsidR="00D778EC" w:rsidRPr="00D778EC" w14:paraId="4C7B78E4" w14:textId="77777777" w:rsidTr="00D778EC">
        <w:trPr>
          <w:trHeight w:val="285"/>
        </w:trPr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BD8DE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** Średnia dla Gdańska i Gdyni</w:t>
            </w:r>
          </w:p>
        </w:tc>
      </w:tr>
      <w:tr w:rsidR="00D778EC" w:rsidRPr="00D778EC" w14:paraId="32959B35" w14:textId="77777777" w:rsidTr="00D778EC">
        <w:trPr>
          <w:trHeight w:val="285"/>
        </w:trPr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99E2B" w14:textId="77777777" w:rsidR="00D778EC" w:rsidRPr="00D778EC" w:rsidRDefault="00D778EC" w:rsidP="00D7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7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Opracowanie HRE Investments na podstawie danych NBP</w:t>
            </w:r>
          </w:p>
        </w:tc>
      </w:tr>
    </w:tbl>
    <w:p w14:paraId="56BA26FF" w14:textId="77777777" w:rsidR="00D778EC" w:rsidRDefault="00D778EC" w:rsidP="00006C5E">
      <w:pPr>
        <w:rPr>
          <w:b/>
          <w:bCs/>
        </w:rPr>
      </w:pPr>
    </w:p>
    <w:p w14:paraId="4B0DA958" w14:textId="307013F3" w:rsidR="00F00EC1" w:rsidRDefault="00431E00" w:rsidP="00006C5E">
      <w:pPr>
        <w:rPr>
          <w:b/>
          <w:bCs/>
        </w:rPr>
      </w:pPr>
      <w:r>
        <w:rPr>
          <w:b/>
          <w:bCs/>
        </w:rPr>
        <w:t>Przybyło ofert, bo oczekujemy obsługi zdalnej</w:t>
      </w:r>
    </w:p>
    <w:p w14:paraId="4FA5D0A3" w14:textId="68BDE9EA" w:rsidR="00431E00" w:rsidRPr="00431E00" w:rsidRDefault="00D778EC" w:rsidP="00006C5E">
      <w:r>
        <w:lastRenderedPageBreak/>
        <w:t xml:space="preserve">Dane NBP pokazują też jeszcze jedną ciekawą sytuację na rynku mieszkaniowym. Okazuje się, że dysproporcja pomiędzy ceną oczekiwaną przez sprzedających i faktycznie płaconą przez kupujących jest niemal rekordowa. W czwartym kwartale na 7 największych rynkach Polacy faktycznie płacili bowiem za metr mieszkania ponad 8,3 tys. zł podczas gdy sprzedający oczekiwali aż 9,7 tys. zł. Mamy więc około </w:t>
      </w:r>
      <w:r w:rsidRPr="00D778EC">
        <w:t>1,</w:t>
      </w:r>
      <w:r>
        <w:t>4</w:t>
      </w:r>
      <w:r w:rsidRPr="00D778EC">
        <w:t xml:space="preserve"> tys. złotych „rozjazdu”</w:t>
      </w:r>
      <w:r>
        <w:t>. Może on wynikać z tego, że w ofercie jest dużo mieszkań w standardzie wyższym niż chcieliby kupić nabywcy lub część sprzedających ma nierealne oczekiwania cenowe</w:t>
      </w:r>
      <w:r w:rsidRPr="00D778EC">
        <w:t xml:space="preserve">. </w:t>
      </w:r>
    </w:p>
    <w:p w14:paraId="2379AA8B" w14:textId="169189DC" w:rsidR="00431E00" w:rsidRPr="00431E00" w:rsidRDefault="00431E00" w:rsidP="00006C5E">
      <w:pPr>
        <w:rPr>
          <w:b/>
          <w:bCs/>
        </w:rPr>
      </w:pPr>
      <w:r>
        <w:rPr>
          <w:b/>
          <w:bCs/>
        </w:rPr>
        <w:t>Sprzedający chcą znacznie więcej niż kupujący</w:t>
      </w:r>
    </w:p>
    <w:p w14:paraId="6B6C70DE" w14:textId="3FEC5AA4" w:rsidR="00634282" w:rsidRDefault="00D778EC" w:rsidP="00006C5E">
      <w:r>
        <w:t xml:space="preserve">Sytuacja kreowana przez sprzedających mieszkania jest o tyle ważna, że dziś wiele mówi się o </w:t>
      </w:r>
      <w:r w:rsidR="00634282">
        <w:t>dużej liczbie mieszkań używanych wystawionych na sprzedaż. Jest ich faktycznie więcej, przy czym realna liczba jest trudna do oszacowania, bo często wiele ogłoszeń dotyczy tego samego mieszkania</w:t>
      </w:r>
      <w:r w:rsidR="005403C5">
        <w:t>. I</w:t>
      </w:r>
      <w:r w:rsidR="00634282">
        <w:t xml:space="preserve">m lokal atrakcyjniejszy, tym częściej kopiowana jest jego oferta. </w:t>
      </w:r>
      <w:r w:rsidR="005403C5">
        <w:t>Zachowawczo</w:t>
      </w:r>
      <w:r w:rsidR="00634282">
        <w:t xml:space="preserve"> można jednak szacować, że liczba ofertowanych lokali może być o około 1/4 czy 1/3 wyższa niż przed rokiem. </w:t>
      </w:r>
    </w:p>
    <w:p w14:paraId="4B8D0D3C" w14:textId="66D195E7" w:rsidR="00661ED2" w:rsidRDefault="00634282" w:rsidP="00006C5E">
      <w:r>
        <w:t>Nie</w:t>
      </w:r>
      <w:r w:rsidR="005403C5">
        <w:t>koniecznie</w:t>
      </w:r>
      <w:r>
        <w:t xml:space="preserve"> znaczy to jednak, że Polacy bardziej niż przed rokiem chcą sprzedawać mieszkania. To, że ofert jest więcej, może wynikać z polityki cenowej portali ogłoszeniowych, czy – tym bardziej – większej skłonności do ogłaszania chęci sprzedaży nieruchomości. Dotyczy to zarówno pośredników jak i właścicieli. Po prostu kupujący częściej dziś oczekują obsługi zdalnej, a jej podstawą jest </w:t>
      </w:r>
      <w:r w:rsidR="001A4AA8">
        <w:t xml:space="preserve">publicznie dostępne </w:t>
      </w:r>
      <w:r>
        <w:t xml:space="preserve">ogłoszenie. </w:t>
      </w:r>
      <w:r w:rsidR="003365B7">
        <w:t xml:space="preserve">Wyższa liczba ofert może wynikać z tego, że do internetu trafiają dziś częściej mieszkania, </w:t>
      </w:r>
      <w:r w:rsidR="003365B7" w:rsidRPr="003365B7">
        <w:t>które w normalnych warunkach</w:t>
      </w:r>
      <w:r w:rsidR="00CB4A1A">
        <w:t>,</w:t>
      </w:r>
      <w:r w:rsidR="003365B7" w:rsidRPr="003365B7">
        <w:t xml:space="preserve"> sprzedano</w:t>
      </w:r>
      <w:r w:rsidR="003365B7">
        <w:t xml:space="preserve"> </w:t>
      </w:r>
      <w:r w:rsidR="003365B7" w:rsidRPr="003365B7">
        <w:t>by bez ogłaszania w sieci</w:t>
      </w:r>
      <w:r w:rsidR="000A452A">
        <w:t>.</w:t>
      </w:r>
    </w:p>
    <w:p w14:paraId="214C8477" w14:textId="65FF299D" w:rsidR="00006C5E" w:rsidRDefault="00F00EC1">
      <w:r>
        <w:t>Bartosz Turek, główny analityk HRE Investments</w:t>
      </w:r>
    </w:p>
    <w:sectPr w:rsidR="0000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5E"/>
    <w:rsid w:val="00004A10"/>
    <w:rsid w:val="0000673D"/>
    <w:rsid w:val="00006C5E"/>
    <w:rsid w:val="000738EB"/>
    <w:rsid w:val="000828AC"/>
    <w:rsid w:val="000A452A"/>
    <w:rsid w:val="00151D02"/>
    <w:rsid w:val="001A4AA8"/>
    <w:rsid w:val="002563C6"/>
    <w:rsid w:val="002C4F7E"/>
    <w:rsid w:val="003365B7"/>
    <w:rsid w:val="00431E00"/>
    <w:rsid w:val="004841D8"/>
    <w:rsid w:val="004A3B3E"/>
    <w:rsid w:val="005403C5"/>
    <w:rsid w:val="00555F98"/>
    <w:rsid w:val="005B7D1D"/>
    <w:rsid w:val="005D3347"/>
    <w:rsid w:val="00634282"/>
    <w:rsid w:val="00661ED2"/>
    <w:rsid w:val="00662F7C"/>
    <w:rsid w:val="006E00EA"/>
    <w:rsid w:val="006E01D0"/>
    <w:rsid w:val="00777446"/>
    <w:rsid w:val="009330D4"/>
    <w:rsid w:val="00A71D5B"/>
    <w:rsid w:val="00AA2889"/>
    <w:rsid w:val="00AB5897"/>
    <w:rsid w:val="00AB7DA4"/>
    <w:rsid w:val="00AF1449"/>
    <w:rsid w:val="00AF5247"/>
    <w:rsid w:val="00BE0EA5"/>
    <w:rsid w:val="00CB4A1A"/>
    <w:rsid w:val="00D16A24"/>
    <w:rsid w:val="00D47733"/>
    <w:rsid w:val="00D778EC"/>
    <w:rsid w:val="00DA6AAC"/>
    <w:rsid w:val="00F00EC1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D22C"/>
  <w15:chartTrackingRefBased/>
  <w15:docId w15:val="{80739FBE-EB0D-4172-851D-1B7E07B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artosz%20Turek\AppData\Local\Temp\ceny_mieszka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Zmiany cen mieszkań używanych na 7 miastach 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b="0"/>
              <a:t>(w ujęciu r/r)</a:t>
            </a:r>
          </a:p>
        </c:rich>
      </c:tx>
      <c:layout>
        <c:manualLayout>
          <c:xMode val="edge"/>
          <c:yMode val="edge"/>
          <c:x val="0.13337154367331991"/>
          <c:y val="2.18310264318064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07604309458649"/>
          <c:y val="0.16986279009091579"/>
          <c:w val="0.84245268213461533"/>
          <c:h val="0.55928953230888623"/>
        </c:manualLayout>
      </c:layout>
      <c:lineChart>
        <c:grouping val="standard"/>
        <c:varyColors val="0"/>
        <c:ser>
          <c:idx val="0"/>
          <c:order val="0"/>
          <c:spPr>
            <a:ln w="38100" cap="rnd">
              <a:solidFill>
                <a:srgbClr val="D08C5F"/>
              </a:solidFill>
              <a:round/>
            </a:ln>
            <a:effectLst/>
          </c:spPr>
          <c:marker>
            <c:symbol val="none"/>
          </c:marker>
          <c:dLbls>
            <c:dLbl>
              <c:idx val="1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AD-46DE-8E2D-7018176ADB3A}"/>
                </c:ext>
              </c:extLst>
            </c:dLbl>
            <c:dLbl>
              <c:idx val="17"/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CAD-46DE-8E2D-7018176ADB3A}"/>
                </c:ext>
              </c:extLst>
            </c:dLbl>
            <c:dLbl>
              <c:idx val="18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AD-46DE-8E2D-7018176ADB3A}"/>
                </c:ext>
              </c:extLst>
            </c:dLbl>
            <c:dLbl>
              <c:idx val="19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AD-46DE-8E2D-7018176ADB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pl-PL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'Rynek wtórny'!$CM$46:$CM$65</c:f>
              <c:strCache>
                <c:ptCount val="20"/>
                <c:pt idx="0">
                  <c:v>1 kwartał 2016</c:v>
                </c:pt>
                <c:pt idx="1">
                  <c:v>2 kwartał 2016</c:v>
                </c:pt>
                <c:pt idx="2">
                  <c:v>3 kwartał 2016</c:v>
                </c:pt>
                <c:pt idx="3">
                  <c:v>4 kwartał 2016</c:v>
                </c:pt>
                <c:pt idx="4">
                  <c:v>1 kwartał 2017</c:v>
                </c:pt>
                <c:pt idx="5">
                  <c:v>2 kwartał 2017</c:v>
                </c:pt>
                <c:pt idx="6">
                  <c:v>3 kwartał 2017</c:v>
                </c:pt>
                <c:pt idx="7">
                  <c:v>4 kwartał 2017</c:v>
                </c:pt>
                <c:pt idx="8">
                  <c:v>1 kwartał 2018</c:v>
                </c:pt>
                <c:pt idx="9">
                  <c:v>2 kwartał 2018</c:v>
                </c:pt>
                <c:pt idx="10">
                  <c:v>3 kwartał 2018</c:v>
                </c:pt>
                <c:pt idx="11">
                  <c:v>4 kwartał 2018</c:v>
                </c:pt>
                <c:pt idx="12">
                  <c:v>1 kwartał 2019</c:v>
                </c:pt>
                <c:pt idx="13">
                  <c:v>2 kwartał 2019</c:v>
                </c:pt>
                <c:pt idx="14">
                  <c:v>3 kwartał 2019</c:v>
                </c:pt>
                <c:pt idx="15">
                  <c:v>4 kwartał 2019</c:v>
                </c:pt>
                <c:pt idx="16">
                  <c:v>1 kwartał 2020</c:v>
                </c:pt>
                <c:pt idx="17">
                  <c:v>2 kwartał 2020</c:v>
                </c:pt>
                <c:pt idx="18">
                  <c:v>3 kwartał 2020</c:v>
                </c:pt>
                <c:pt idx="19">
                  <c:v>4 kwartał 2020</c:v>
                </c:pt>
              </c:strCache>
            </c:strRef>
          </c:cat>
          <c:val>
            <c:numRef>
              <c:f>'Rynek wtórny'!$CL$46:$CL$65</c:f>
              <c:numCache>
                <c:formatCode>0.0%</c:formatCode>
                <c:ptCount val="20"/>
                <c:pt idx="0">
                  <c:v>-2.8778169924550401E-3</c:v>
                </c:pt>
                <c:pt idx="1">
                  <c:v>2.5720059771828785E-2</c:v>
                </c:pt>
                <c:pt idx="2">
                  <c:v>4.0139566432882745E-2</c:v>
                </c:pt>
                <c:pt idx="3">
                  <c:v>3.6787529408632391E-2</c:v>
                </c:pt>
                <c:pt idx="4">
                  <c:v>6.7815796737896283E-2</c:v>
                </c:pt>
                <c:pt idx="5">
                  <c:v>4.335272034344051E-2</c:v>
                </c:pt>
                <c:pt idx="6">
                  <c:v>4.6715886948592633E-2</c:v>
                </c:pt>
                <c:pt idx="7">
                  <c:v>5.8936764994302671E-2</c:v>
                </c:pt>
                <c:pt idx="8">
                  <c:v>5.3168551259817454E-2</c:v>
                </c:pt>
                <c:pt idx="9">
                  <c:v>7.5792183934104917E-2</c:v>
                </c:pt>
                <c:pt idx="10">
                  <c:v>8.4305453557030008E-2</c:v>
                </c:pt>
                <c:pt idx="11">
                  <c:v>9.4126973816619275E-2</c:v>
                </c:pt>
                <c:pt idx="12">
                  <c:v>9.7710600448653873E-2</c:v>
                </c:pt>
                <c:pt idx="13">
                  <c:v>0.10785738799381583</c:v>
                </c:pt>
                <c:pt idx="14">
                  <c:v>0.10465863797416852</c:v>
                </c:pt>
                <c:pt idx="15">
                  <c:v>0.11720630276616029</c:v>
                </c:pt>
                <c:pt idx="16">
                  <c:v>0.12533615130721953</c:v>
                </c:pt>
                <c:pt idx="17">
                  <c:v>0.11126749937469516</c:v>
                </c:pt>
                <c:pt idx="18">
                  <c:v>9.9384158162737934E-2</c:v>
                </c:pt>
                <c:pt idx="19">
                  <c:v>5.572920368843004E-2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CAD-46DE-8E2D-7018176AD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9219840"/>
        <c:axId val="1"/>
      </c:lineChart>
      <c:catAx>
        <c:axId val="196921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969219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0.00216</cdr:x>
      <cdr:y>0.93509</cdr:y>
    </cdr:from>
    <cdr:to>
      <cdr:x>0.99569</cdr:x>
      <cdr:y>0.99393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1906" y="3675460"/>
          <a:ext cx="5488782" cy="226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 HRE Investments na podstawie</a:t>
          </a:r>
          <a:r>
            <a:rPr lang="pl-PL" sz="900" baseline="0"/>
            <a:t> danych NBP</a:t>
          </a:r>
          <a:endParaRPr lang="pl-PL" sz="9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938</Words>
  <Characters>5272</Characters>
  <Application>Microsoft Office Word</Application>
  <DocSecurity>0</DocSecurity>
  <Lines>78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Turek</dc:creator>
  <cp:keywords/>
  <dc:description/>
  <cp:lastModifiedBy>Bartosz Turek</cp:lastModifiedBy>
  <cp:revision>10</cp:revision>
  <dcterms:created xsi:type="dcterms:W3CDTF">2021-02-15T09:38:00Z</dcterms:created>
  <dcterms:modified xsi:type="dcterms:W3CDTF">2021-02-15T12:16:00Z</dcterms:modified>
</cp:coreProperties>
</file>