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0B" w:rsidRPr="00924A04" w:rsidRDefault="00924A04">
      <w:pPr>
        <w:rPr>
          <w:b/>
          <w:sz w:val="44"/>
          <w:szCs w:val="44"/>
        </w:rPr>
      </w:pPr>
      <w:r w:rsidRPr="00924A04">
        <w:rPr>
          <w:b/>
          <w:sz w:val="44"/>
          <w:szCs w:val="44"/>
        </w:rPr>
        <w:t>NA „MIESZKANIU DLA MŁODYCH” BUDŻET ZAROBIŁ JUŻ PONAD 1,6 MLD ZŁOTYCH</w:t>
      </w:r>
    </w:p>
    <w:p w:rsidR="00143CF8" w:rsidRPr="00143CF8" w:rsidRDefault="009F254F">
      <w:pPr>
        <w:rPr>
          <w:b/>
        </w:rPr>
      </w:pPr>
      <w:r>
        <w:rPr>
          <w:b/>
        </w:rPr>
        <w:t xml:space="preserve">Z </w:t>
      </w:r>
      <w:r w:rsidR="00B82E99">
        <w:rPr>
          <w:b/>
        </w:rPr>
        <w:t xml:space="preserve">„Mieszkania dla młodych” </w:t>
      </w:r>
      <w:r w:rsidR="005133A3">
        <w:rPr>
          <w:b/>
        </w:rPr>
        <w:t>skorzystało już ponad 40</w:t>
      </w:r>
      <w:r w:rsidR="00B82E99" w:rsidRPr="009F254F">
        <w:rPr>
          <w:b/>
        </w:rPr>
        <w:t xml:space="preserve"> tys.</w:t>
      </w:r>
      <w:r>
        <w:rPr>
          <w:b/>
        </w:rPr>
        <w:t xml:space="preserve"> osób. </w:t>
      </w:r>
      <w:r w:rsidR="008A13B3">
        <w:rPr>
          <w:b/>
        </w:rPr>
        <w:t>N</w:t>
      </w:r>
      <w:r>
        <w:rPr>
          <w:b/>
        </w:rPr>
        <w:t xml:space="preserve">a ten cel </w:t>
      </w:r>
      <w:r w:rsidR="008A13B3">
        <w:rPr>
          <w:b/>
        </w:rPr>
        <w:t xml:space="preserve">z państwowej kasy wydano </w:t>
      </w:r>
      <w:r>
        <w:rPr>
          <w:b/>
        </w:rPr>
        <w:t>ponad miliard złotych. Prawie 3 razy więcej trafiło jednak na konto fiskusa w formie VAT-u, PIT-u czy CIT-u płaconego przez deweloperów, banki, notariuszy czy ekipy remontowe – wynika z wyliczeń przygotowanych przez Lion’s Bank.</w:t>
      </w:r>
    </w:p>
    <w:p w:rsidR="00620E12" w:rsidRDefault="009F254F">
      <w:r>
        <w:t xml:space="preserve">Program „Mieszkanie dla młodych” działa już 2 lata. W tym czasie </w:t>
      </w:r>
      <w:r w:rsidR="00620E12">
        <w:t>b</w:t>
      </w:r>
      <w:r>
        <w:t>udżet dopłacił</w:t>
      </w:r>
      <w:r w:rsidR="00620E12">
        <w:t xml:space="preserve"> do kredytów </w:t>
      </w:r>
      <w:r w:rsidR="00AD535F">
        <w:t>1 045 mln zł (ponad miliard)</w:t>
      </w:r>
      <w:r>
        <w:t>.</w:t>
      </w:r>
      <w:r w:rsidR="00620E12">
        <w:t xml:space="preserve"> Wbrew pozorom są to pieniądze, które z nawiązką wracają do kasy państwa. </w:t>
      </w:r>
      <w:r w:rsidR="00620E12" w:rsidRPr="00620E12">
        <w:t xml:space="preserve">Łatwo bowiem oszacować, że przychody podatkowe związane z zakupem lokalu </w:t>
      </w:r>
      <w:r>
        <w:t xml:space="preserve">wynoszą </w:t>
      </w:r>
      <w:r w:rsidR="00AD535F" w:rsidRPr="00AD535F">
        <w:t xml:space="preserve">łącznie </w:t>
      </w:r>
      <w:r w:rsidR="004C2AF1">
        <w:br/>
      </w:r>
      <w:r w:rsidR="00AD535F" w:rsidRPr="00AD535F">
        <w:t xml:space="preserve">2 </w:t>
      </w:r>
      <w:r w:rsidR="004C2AF1">
        <w:t>70</w:t>
      </w:r>
      <w:r w:rsidR="00CB146E">
        <w:t>6</w:t>
      </w:r>
      <w:r w:rsidR="00AD535F" w:rsidRPr="00AD535F">
        <w:t xml:space="preserve"> mln zł</w:t>
      </w:r>
      <w:r w:rsidR="00AD535F">
        <w:t>, czyli prawie 3 razy więcej</w:t>
      </w:r>
      <w:r>
        <w:t>. M</w:t>
      </w:r>
      <w:r w:rsidR="00620E12" w:rsidRPr="00620E12">
        <w:t xml:space="preserve">ożna </w:t>
      </w:r>
      <w:r>
        <w:t xml:space="preserve">więc </w:t>
      </w:r>
      <w:r w:rsidR="00620E12" w:rsidRPr="00620E12">
        <w:t>zaryzykować stwierdzenie, że program dopłat d</w:t>
      </w:r>
      <w:r w:rsidR="00AD535F">
        <w:t>o kredytów fiskusowi się opłaca</w:t>
      </w:r>
      <w:r w:rsidR="00D463CB">
        <w:t xml:space="preserve">, a przez 2 lata budżet zarobił na nim ponad 1,6 mld zł </w:t>
      </w:r>
      <w:r w:rsidR="0015089D">
        <w:t>– wynika z szacunków Lion’s Bank.</w:t>
      </w:r>
    </w:p>
    <w:p w:rsidR="00FF4B2B" w:rsidRPr="00FF4B2B" w:rsidRDefault="00FF4B2B">
      <w:pPr>
        <w:rPr>
          <w:b/>
        </w:rPr>
      </w:pPr>
      <w:r w:rsidRPr="00FF4B2B">
        <w:rPr>
          <w:b/>
        </w:rPr>
        <w:t xml:space="preserve">Za </w:t>
      </w:r>
      <w:r>
        <w:rPr>
          <w:b/>
        </w:rPr>
        <w:t>1 zł</w:t>
      </w:r>
      <w:r w:rsidR="000E22F5">
        <w:rPr>
          <w:b/>
        </w:rPr>
        <w:t xml:space="preserve"> dopłaty 2</w:t>
      </w:r>
      <w:r w:rsidRPr="00FF4B2B">
        <w:rPr>
          <w:b/>
        </w:rPr>
        <w:t>,</w:t>
      </w:r>
      <w:r w:rsidR="000E22F5">
        <w:rPr>
          <w:b/>
        </w:rPr>
        <w:t>94</w:t>
      </w:r>
      <w:r w:rsidRPr="00FF4B2B">
        <w:rPr>
          <w:b/>
        </w:rPr>
        <w:t xml:space="preserve"> zł podatku</w:t>
      </w:r>
    </w:p>
    <w:p w:rsidR="00602D27" w:rsidRDefault="009F254F">
      <w:r>
        <w:t>Jakim cudem</w:t>
      </w:r>
      <w:r w:rsidR="00AD535F">
        <w:t xml:space="preserve"> tak się dzieje</w:t>
      </w:r>
      <w:r w:rsidR="00FF4B2B">
        <w:t xml:space="preserve">? </w:t>
      </w:r>
      <w:r w:rsidR="00AD535F">
        <w:t xml:space="preserve">Spójrzmy jakie podatki wiążą się </w:t>
      </w:r>
      <w:r w:rsidR="00024780">
        <w:t xml:space="preserve">z zakupem przez osobę fizyczną mieszkania na kredyt. </w:t>
      </w:r>
      <w:r w:rsidR="00AD535F">
        <w:t>Od razu trzeba zaznaczyć, że c</w:t>
      </w:r>
      <w:r w:rsidR="00024780">
        <w:t>o prawda w programie „</w:t>
      </w:r>
      <w:proofErr w:type="spellStart"/>
      <w:r w:rsidR="00024780">
        <w:t>MdM</w:t>
      </w:r>
      <w:proofErr w:type="spellEnd"/>
      <w:r w:rsidR="00024780">
        <w:t>” kupować można także domy jednorodzinne, ale ich liczba jest na tyle niewielka, że do szacunków przyjęto</w:t>
      </w:r>
      <w:r w:rsidR="00D35BE5">
        <w:t>,</w:t>
      </w:r>
      <w:r w:rsidR="00024780">
        <w:t xml:space="preserve"> że </w:t>
      </w:r>
      <w:r w:rsidR="00B44F8D">
        <w:t>statystyczn</w:t>
      </w:r>
      <w:r w:rsidR="00E6766F">
        <w:t>ą</w:t>
      </w:r>
      <w:r w:rsidR="00B44F8D">
        <w:t xml:space="preserve"> </w:t>
      </w:r>
      <w:r w:rsidR="00E6766F">
        <w:t>nieruchomością</w:t>
      </w:r>
      <w:r w:rsidR="00B44F8D">
        <w:t xml:space="preserve"> kupion</w:t>
      </w:r>
      <w:r w:rsidR="00E6766F">
        <w:t>ą</w:t>
      </w:r>
      <w:r w:rsidR="00B44F8D">
        <w:t xml:space="preserve"> na kredyt z dopłatą jest mieszkanie</w:t>
      </w:r>
      <w:r w:rsidR="00024780">
        <w:t xml:space="preserve">. Dane </w:t>
      </w:r>
      <w:r w:rsidR="00AD535F">
        <w:t xml:space="preserve">udostępniane przez ministerstwo </w:t>
      </w:r>
      <w:r w:rsidR="00024780">
        <w:t>mówią</w:t>
      </w:r>
      <w:r w:rsidR="00B44F8D">
        <w:t xml:space="preserve"> ponadto, że taka modelowa nieruchomości </w:t>
      </w:r>
      <w:r w:rsidR="00024780">
        <w:t>miała 5</w:t>
      </w:r>
      <w:r w:rsidR="00AD535F">
        <w:t>3</w:t>
      </w:r>
      <w:r w:rsidR="00024780">
        <w:t>,</w:t>
      </w:r>
      <w:r w:rsidR="00AD535F">
        <w:t>27</w:t>
      </w:r>
      <w:r w:rsidR="00024780">
        <w:t xml:space="preserve"> m kw., kosztowała 2</w:t>
      </w:r>
      <w:r w:rsidR="00AD535F">
        <w:t>2</w:t>
      </w:r>
      <w:r w:rsidR="00024780">
        <w:t>3,</w:t>
      </w:r>
      <w:r w:rsidR="00AD535F">
        <w:t>1</w:t>
      </w:r>
      <w:r w:rsidR="00024780">
        <w:t xml:space="preserve"> tys. zł, a średnia dopłata wyniosła </w:t>
      </w:r>
      <w:r w:rsidR="00DB5869">
        <w:t>niecałe</w:t>
      </w:r>
      <w:r w:rsidR="00024780">
        <w:t xml:space="preserve"> 2</w:t>
      </w:r>
      <w:r w:rsidR="00AD535F">
        <w:t>5</w:t>
      </w:r>
      <w:r w:rsidR="00024780">
        <w:t xml:space="preserve"> tys. zł.</w:t>
      </w:r>
    </w:p>
    <w:p w:rsidR="008F1E1B" w:rsidRDefault="00AD535F" w:rsidP="008F1E1B">
      <w:r>
        <w:t xml:space="preserve">Zacznijmy od przykładu mieszkania nowego, przy którego zakupie skarb państwa zarabia najwięcej. </w:t>
      </w:r>
      <w:r w:rsidR="00B44F8D">
        <w:t>Bardzo ważnym elementem przychodów fiskusa jest VAT (8%)</w:t>
      </w:r>
      <w:r w:rsidR="0032583B">
        <w:t xml:space="preserve">, który w modelowym przypadku opiewa na </w:t>
      </w:r>
      <w:r w:rsidR="00B44F8D">
        <w:t>1</w:t>
      </w:r>
      <w:r>
        <w:t>6</w:t>
      </w:r>
      <w:r w:rsidR="00B44F8D">
        <w:t>,</w:t>
      </w:r>
      <w:r>
        <w:t>5</w:t>
      </w:r>
      <w:r w:rsidR="00B44F8D">
        <w:t xml:space="preserve"> tys. zł. Poza tym nie można też</w:t>
      </w:r>
      <w:r w:rsidR="0032583B">
        <w:t xml:space="preserve"> zapomnieć o podatku dochodowym, który zapłaci deweloper.</w:t>
      </w:r>
      <w:r w:rsidR="008F1E1B">
        <w:t xml:space="preserve"> </w:t>
      </w:r>
      <w:r w:rsidR="0032583B">
        <w:t>19% od</w:t>
      </w:r>
      <w:r>
        <w:t xml:space="preserve"> ceny netto </w:t>
      </w:r>
      <w:r w:rsidR="0032583B">
        <w:t xml:space="preserve">lokalu </w:t>
      </w:r>
      <w:r>
        <w:t xml:space="preserve">daje </w:t>
      </w:r>
      <w:r w:rsidR="0032583B">
        <w:t xml:space="preserve">kolejne </w:t>
      </w:r>
      <w:r>
        <w:t>39</w:t>
      </w:r>
      <w:r w:rsidR="008F1E1B">
        <w:t>,</w:t>
      </w:r>
      <w:r>
        <w:t>2</w:t>
      </w:r>
      <w:r w:rsidR="008F1E1B">
        <w:t xml:space="preserve"> tys. zł. Oczywiście deweloper po sprzedaży lokalu nie będzie musiał zapła</w:t>
      </w:r>
      <w:r w:rsidR="0032583B">
        <w:t xml:space="preserve">cić całej tej kwoty podatku sam. W swojej działalności korzysta bowiem z usług różnych firm (projektantów, budowlańców czy dostawców materiałów). Koszty dewelopera </w:t>
      </w:r>
      <w:r w:rsidR="008F1E1B">
        <w:t xml:space="preserve">są </w:t>
      </w:r>
      <w:r w:rsidR="0032583B">
        <w:t xml:space="preserve">jednak </w:t>
      </w:r>
      <w:r w:rsidR="008F1E1B">
        <w:t xml:space="preserve">przychodami jego </w:t>
      </w:r>
      <w:r w:rsidR="001F1D92">
        <w:t xml:space="preserve">pracowników, </w:t>
      </w:r>
      <w:r w:rsidR="008F1E1B">
        <w:t>dostawców, wykonawców i usługodawców, którzy także płacą podatki</w:t>
      </w:r>
      <w:r w:rsidR="000E22F5">
        <w:t xml:space="preserve"> czy składki na ZUS. </w:t>
      </w:r>
      <w:r w:rsidR="008F1E1B">
        <w:t xml:space="preserve">Dla uproszczenia można więc przyjąć, że na konto fiskusa wpłynie łączna kwota podatku dochodowego w wysokości 19% ceny netto sprzedaży mieszkania.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140"/>
        <w:gridCol w:w="1040"/>
        <w:gridCol w:w="2260"/>
      </w:tblGrid>
      <w:tr w:rsidR="00AD535F" w:rsidRPr="00AD535F" w:rsidTr="00AD535F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Podatki związane z zakupem nowego mieszkania wartego 223,1 tys. zł</w:t>
            </w:r>
          </w:p>
        </w:tc>
      </w:tr>
      <w:tr w:rsidR="00AD535F" w:rsidRPr="00AD535F" w:rsidTr="00AD535F">
        <w:trPr>
          <w:trHeight w:val="7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Wyszczególnienie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Kwota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VAT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Podatek dochodowy (PIT i CIT)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Cena zakupu mieszkania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223 100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16 526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39 249 zł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Prowizja za udzielenie kredytu (1%)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1 785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339 zł</w:t>
            </w:r>
          </w:p>
        </w:tc>
      </w:tr>
      <w:tr w:rsidR="00AD535F" w:rsidRPr="00AD535F" w:rsidTr="00AD535F">
        <w:trPr>
          <w:trHeight w:val="6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Marża odsetkowa dla długu zaciągniętego na 25 lat i 80% ceny nieruchomości (przy marży netto na poziomie 1%)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23 313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4 429 zł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Ubezpieczenie od ognia i wody**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2 231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85 zł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Taksa notarialna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2 310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432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357 zł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Koszt wykończenia (500 zł za m kw.)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26 635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1 973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4 686 zł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Koszt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15 000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2 805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lang w:eastAsia="pl-PL"/>
              </w:rPr>
              <w:t>2 317 zł</w:t>
            </w:r>
          </w:p>
        </w:tc>
      </w:tr>
      <w:tr w:rsidR="00AD535F" w:rsidRPr="00AD535F" w:rsidTr="00AD535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Suma + 19 zł tytułem PCC od ustanowienia hipoteki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35F" w:rsidRPr="00AD535F" w:rsidRDefault="00AD535F" w:rsidP="00AD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73 217 zł</w:t>
            </w:r>
          </w:p>
        </w:tc>
      </w:tr>
      <w:tr w:rsidR="00AD535F" w:rsidRPr="00AD535F" w:rsidTr="00AD535F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 Zachowawczo oszacowano licząc od 50% finalnej ceny netto produktu lub usługi</w:t>
            </w:r>
          </w:p>
        </w:tc>
      </w:tr>
      <w:tr w:rsidR="00AD535F" w:rsidRPr="00AD535F" w:rsidTr="00AD535F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** Suma dla 25 lat przy składce rocznej na poziomie 0,05% rocznie, założony zysk ubezpieczyciela na poziomie 20%</w:t>
            </w:r>
          </w:p>
        </w:tc>
      </w:tr>
      <w:tr w:rsidR="00AD535F" w:rsidRPr="00AD535F" w:rsidTr="00AD535F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35F" w:rsidRPr="00AD535F" w:rsidRDefault="00AD535F" w:rsidP="00AD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5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Opracowanie własne na podstawie danych BGK, NBP, ISAP, Lion's Bank</w:t>
            </w:r>
          </w:p>
        </w:tc>
      </w:tr>
    </w:tbl>
    <w:p w:rsidR="002D18F0" w:rsidRDefault="002D18F0" w:rsidP="000E22F5"/>
    <w:p w:rsidR="00B53912" w:rsidRDefault="000E22F5" w:rsidP="000E22F5">
      <w:r>
        <w:t xml:space="preserve">Za nami zaledwie dwie pozycje, a już uzbierała się kwota </w:t>
      </w:r>
      <w:r w:rsidR="008F1E1B">
        <w:t xml:space="preserve">dwukrotnie przekraczają kwotę dopłaty z budżetu. </w:t>
      </w:r>
      <w:r>
        <w:t xml:space="preserve">Na jakie przychody może jeszcze liczyć fiskus? </w:t>
      </w:r>
      <w:r w:rsidR="008F1E1B">
        <w:t>W związku z koniecznością zaciągnięcia kredytu na zakup mieszk</w:t>
      </w:r>
      <w:r>
        <w:t>ania z dopłatą bank rozpozna</w:t>
      </w:r>
      <w:r w:rsidR="008F1E1B">
        <w:t xml:space="preserve"> zyski</w:t>
      </w:r>
      <w:r>
        <w:t xml:space="preserve"> i tu znowu pojawia się podatek</w:t>
      </w:r>
      <w:r w:rsidR="008F1E1B">
        <w:t xml:space="preserve">. </w:t>
      </w:r>
      <w:r>
        <w:t>F</w:t>
      </w:r>
      <w:r w:rsidR="0009392F">
        <w:t xml:space="preserve">iskus pobierze także podatek od czynności cywilno-prawnych (PCC) za ustanowienie hipoteki w symbolicznej kwocie 19 zł. </w:t>
      </w:r>
      <w:r>
        <w:t>Do tego kosztem kredytu są też wszelkiego typu</w:t>
      </w:r>
      <w:r w:rsidR="008F1E1B">
        <w:t xml:space="preserve"> prowizje, opłaty za wycenę, inspekcje, </w:t>
      </w:r>
      <w:r w:rsidR="00A16A83">
        <w:t>ubezpieczenie pomostowe czy niskiego wkładu oraz</w:t>
      </w:r>
      <w:r w:rsidR="008F1E1B">
        <w:t xml:space="preserve"> opłaty za </w:t>
      </w:r>
      <w:r w:rsidR="00A16A83">
        <w:t xml:space="preserve">prowadzenie innych produktów bankowych wymaganych przez bank. Zachowawczo można przyjąć, że będą one kosztowały 1% pożyczanej kwoty, choć w praktyce może to być </w:t>
      </w:r>
      <w:r w:rsidR="007439AA">
        <w:t>kilkukrotnie</w:t>
      </w:r>
      <w:r w:rsidR="00A16A83">
        <w:t xml:space="preserve"> więcej. </w:t>
      </w:r>
      <w:r>
        <w:t>Na koniec zostaje kwestia rat samego kredytu. O</w:t>
      </w:r>
      <w:r w:rsidR="00A16A83">
        <w:t>dsetki od 25 letniego kredytu zaciągniętego na 80% wartości modelowej nieruchomości (średnia dla „</w:t>
      </w:r>
      <w:proofErr w:type="spellStart"/>
      <w:r w:rsidR="00A16A83">
        <w:t>MdM</w:t>
      </w:r>
      <w:proofErr w:type="spellEnd"/>
      <w:r w:rsidR="00A16A83">
        <w:t>” wg danych BGK) przy założeniu, że bank zarobi na kredycie faktycznie tylko 1% (dane NBP), oznaczają 2</w:t>
      </w:r>
      <w:r>
        <w:t>3</w:t>
      </w:r>
      <w:r w:rsidR="00A16A83">
        <w:t>,</w:t>
      </w:r>
      <w:r>
        <w:t>3</w:t>
      </w:r>
      <w:r w:rsidR="00A16A83">
        <w:t xml:space="preserve"> tys. zł zysku do opodatkowania. </w:t>
      </w:r>
    </w:p>
    <w:p w:rsidR="00A16A83" w:rsidRDefault="00A16A83">
      <w:r>
        <w:t xml:space="preserve">Jeśli ktoś uważa, że na niczym więcej fiskus nie zarobi, myli się. Kolejnym elementem kosztów jest taksa notarialna </w:t>
      </w:r>
      <w:r w:rsidR="00F63936">
        <w:t>obarczona 23-proc. stawką podatku od towarów i usług, a od samej kwoty netto fiskus otrzyma podatek</w:t>
      </w:r>
      <w:r w:rsidR="007439AA">
        <w:t xml:space="preserve"> dochodowy</w:t>
      </w:r>
      <w:r w:rsidR="00F63936">
        <w:t xml:space="preserve">. Tu oczywiście </w:t>
      </w:r>
      <w:r w:rsidR="005133A3">
        <w:t xml:space="preserve">znowu </w:t>
      </w:r>
      <w:r w:rsidR="00F63936">
        <w:t xml:space="preserve">nie całą kwotę zapłaci notariusz, ale jego koszty są przychodami opodatkowanymi przez jego dostawców i pracowników, więc </w:t>
      </w:r>
      <w:r w:rsidR="0009392F">
        <w:t>uproszczając</w:t>
      </w:r>
      <w:r w:rsidR="00F63936">
        <w:t xml:space="preserve"> można założyć, że fiskus dostanie przy tej okazji kolejne 19% od kwoty netto.</w:t>
      </w:r>
    </w:p>
    <w:p w:rsidR="00F63936" w:rsidRDefault="00F63936">
      <w:r>
        <w:t>Identyczny mechanizm działa w przypadku kosztów wykończenia i wyposażenia. T</w:t>
      </w:r>
      <w:r w:rsidR="00721DC5">
        <w:t>e</w:t>
      </w:r>
      <w:r>
        <w:t xml:space="preserve"> pierwsze zachowawczo można obarczyć 8-proc. stawką VAT</w:t>
      </w:r>
      <w:r w:rsidR="0009392F">
        <w:t xml:space="preserve"> (choć </w:t>
      </w:r>
      <w:r w:rsidR="00212A4C">
        <w:t>w cenie</w:t>
      </w:r>
      <w:r w:rsidR="0009392F">
        <w:t xml:space="preserve"> materiałów kupionych samodzielnie </w:t>
      </w:r>
      <w:r w:rsidR="00212A4C">
        <w:t>kryje się 23-proc.</w:t>
      </w:r>
      <w:r w:rsidR="0009392F">
        <w:t xml:space="preserve"> VAT)</w:t>
      </w:r>
      <w:r>
        <w:t xml:space="preserve">, a drugie stawką podstawową. Przyjęto ponadto, że na wykończenie mieszkania przeznaczone zostanie 500 zł w przeliczeniu na m kw., co jest raczej niezbędnym minimum niż kosztem wykończenia w wysokim standardzie. Na wyposażenie niespełna 54-metrowego lokum kwota 15 tys. zł także jest </w:t>
      </w:r>
      <w:r w:rsidR="007439AA">
        <w:t>sumą poniżej średniej</w:t>
      </w:r>
      <w:r>
        <w:t>.</w:t>
      </w:r>
    </w:p>
    <w:p w:rsidR="00B82E99" w:rsidRDefault="00F63936">
      <w:r>
        <w:t>Tak sporządzone szacunki sugerują, że przy zakupie w programie „</w:t>
      </w:r>
      <w:proofErr w:type="spellStart"/>
      <w:r>
        <w:t>MdM</w:t>
      </w:r>
      <w:proofErr w:type="spellEnd"/>
      <w:r>
        <w:t xml:space="preserve">” </w:t>
      </w:r>
      <w:r w:rsidR="0009392F">
        <w:t>modelowego mies</w:t>
      </w:r>
      <w:r>
        <w:t>z</w:t>
      </w:r>
      <w:r w:rsidR="0009392F">
        <w:t>ka</w:t>
      </w:r>
      <w:r w:rsidR="000E22F5">
        <w:t>nia o wartości 22</w:t>
      </w:r>
      <w:r>
        <w:t>3,</w:t>
      </w:r>
      <w:r w:rsidR="000E22F5">
        <w:t>1</w:t>
      </w:r>
      <w:r>
        <w:t xml:space="preserve"> tys. zł fiskus może liczyć na przychody podatkowe w kwocie </w:t>
      </w:r>
      <w:r w:rsidR="000E22F5">
        <w:t>73</w:t>
      </w:r>
      <w:r>
        <w:t>,</w:t>
      </w:r>
      <w:r w:rsidR="000E22F5">
        <w:t>2</w:t>
      </w:r>
      <w:r>
        <w:t xml:space="preserve"> tys. zł</w:t>
      </w:r>
      <w:r w:rsidR="000E22F5">
        <w:t>,</w:t>
      </w:r>
      <w:r>
        <w:t xml:space="preserve"> przy czym przeciętna dopł</w:t>
      </w:r>
      <w:r w:rsidR="000E22F5">
        <w:t>ata do kredytu w „</w:t>
      </w:r>
      <w:proofErr w:type="spellStart"/>
      <w:r w:rsidR="000E22F5">
        <w:t>MdM</w:t>
      </w:r>
      <w:proofErr w:type="spellEnd"/>
      <w:r w:rsidR="000E22F5">
        <w:t>” wynosi 24</w:t>
      </w:r>
      <w:r>
        <w:t>,</w:t>
      </w:r>
      <w:r w:rsidR="000E22F5">
        <w:t>9</w:t>
      </w:r>
      <w:r>
        <w:t xml:space="preserve"> tys. zł. Oczywiście s</w:t>
      </w:r>
      <w:r w:rsidR="00BC397B">
        <w:t xml:space="preserve">zacunki </w:t>
      </w:r>
      <w:r>
        <w:t xml:space="preserve">te </w:t>
      </w:r>
      <w:r w:rsidR="00BC397B">
        <w:t xml:space="preserve">kompletnie pomijają fakt </w:t>
      </w:r>
      <w:r w:rsidR="00620E12">
        <w:t xml:space="preserve">istnienia szarej strefy oraz </w:t>
      </w:r>
      <w:r w:rsidR="00BC397B">
        <w:t xml:space="preserve">zmiany wartości pieniądza w czasie, ale warto zauważyć, że </w:t>
      </w:r>
      <w:r w:rsidR="00620E12">
        <w:t>sporo</w:t>
      </w:r>
      <w:r w:rsidR="00BC397B">
        <w:t xml:space="preserve"> przychodów fiskus </w:t>
      </w:r>
      <w:r w:rsidR="00620E12">
        <w:t xml:space="preserve">może </w:t>
      </w:r>
      <w:r w:rsidR="00BC397B">
        <w:t>odna</w:t>
      </w:r>
      <w:r w:rsidR="00620E12">
        <w:t>leźć</w:t>
      </w:r>
      <w:r w:rsidR="00BC397B">
        <w:t xml:space="preserve"> na swoim koncie zanim na koncie dewelopera pojawi się dopłata z programu „</w:t>
      </w:r>
      <w:proofErr w:type="spellStart"/>
      <w:r w:rsidR="00BC397B">
        <w:t>MdM</w:t>
      </w:r>
      <w:proofErr w:type="spellEnd"/>
      <w:r w:rsidR="00BC397B">
        <w:t>” – ta zgo</w:t>
      </w:r>
      <w:r w:rsidR="00221C0F">
        <w:t xml:space="preserve">dnie z ustawą jest </w:t>
      </w:r>
      <w:r w:rsidR="007439AA">
        <w:t xml:space="preserve">bowiem </w:t>
      </w:r>
      <w:r w:rsidR="00577843">
        <w:t>wypłacana jako o</w:t>
      </w:r>
      <w:r w:rsidR="00221C0F">
        <w:t>statni</w:t>
      </w:r>
      <w:r w:rsidR="00577843">
        <w:t>a</w:t>
      </w:r>
      <w:r w:rsidR="00221C0F">
        <w:t xml:space="preserve"> tra</w:t>
      </w:r>
      <w:r w:rsidR="00577843">
        <w:t>nsza.</w:t>
      </w:r>
      <w:r w:rsidR="00DD681F">
        <w:t xml:space="preserve"> </w:t>
      </w:r>
    </w:p>
    <w:p w:rsidR="0009392F" w:rsidRPr="0009392F" w:rsidRDefault="000E22F5">
      <w:pPr>
        <w:rPr>
          <w:b/>
        </w:rPr>
      </w:pPr>
      <w:r>
        <w:rPr>
          <w:b/>
        </w:rPr>
        <w:t>Podatek z drugiej ręki już nie tak wysoki</w:t>
      </w:r>
    </w:p>
    <w:p w:rsidR="000E22F5" w:rsidRDefault="000E22F5">
      <w:r>
        <w:t xml:space="preserve">Przejdźmy teraz do przykładu mieszkania używanego, które kupione zostało z dopłatą. Na taki ruch można sobie pozwolić od września 2015 roku. Szacunki Lion’s Bank sugerują, że z takiego rozwiązania skorzystało dotychczas około </w:t>
      </w:r>
      <w:r w:rsidR="00721DC5">
        <w:t>6,6 tys. z 42 tys. dotychczasowych beneficjentów</w:t>
      </w:r>
      <w:r>
        <w:t xml:space="preserve">. </w:t>
      </w:r>
    </w:p>
    <w:p w:rsidR="00650AFA" w:rsidRDefault="00444BEB">
      <w:r>
        <w:t xml:space="preserve">Przy sprzedaży </w:t>
      </w:r>
      <w:r w:rsidR="000E22F5">
        <w:t xml:space="preserve">używanego „M” fiskus nie ma co liczyć na 8% VAT-u, ale za to otrzyma 2% wartości nieruchomości w formie </w:t>
      </w:r>
      <w:r>
        <w:t>podat</w:t>
      </w:r>
      <w:r w:rsidR="000E22F5">
        <w:t>ku</w:t>
      </w:r>
      <w:r>
        <w:t xml:space="preserve"> PCC. Zachowawczo można też szacować, że w przypadku modelowego lokalu koszty wykończenia i wyposażenia są o połowę niższe niż w przypadku nowego </w:t>
      </w:r>
      <w:r>
        <w:lastRenderedPageBreak/>
        <w:t>lokum</w:t>
      </w:r>
      <w:r w:rsidR="0009392F">
        <w:t>, choć w praktyce może być inaczej, bo generalny remont jest droższy niż dojście ze stanu deweloperskiego do stanu „pod klucz”</w:t>
      </w:r>
      <w:r>
        <w:t xml:space="preserve">. </w:t>
      </w:r>
    </w:p>
    <w:p w:rsidR="00D1158D" w:rsidRDefault="00D1158D"/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140"/>
        <w:gridCol w:w="1040"/>
        <w:gridCol w:w="2260"/>
      </w:tblGrid>
      <w:tr w:rsidR="004C2AF1" w:rsidRPr="004C2AF1" w:rsidTr="004C2AF1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Podatki związane z zakupem używanego mieszkania wartego 223,1 tys. zł</w:t>
            </w:r>
          </w:p>
        </w:tc>
      </w:tr>
      <w:tr w:rsidR="004C2AF1" w:rsidRPr="004C2AF1" w:rsidTr="004C2AF1">
        <w:trPr>
          <w:trHeight w:val="7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Wyszczególnienie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Kwota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VAT / PCC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Podatek dochodowy (PIT i CIT)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Cena zakupu mieszkania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223 100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4 462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Prowizja za udzielenie kredytu (1%)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1 785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339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Prowizja za pośrednictwo (2% + VAT)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5 488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1 026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848 zł</w:t>
            </w:r>
          </w:p>
        </w:tc>
      </w:tr>
      <w:tr w:rsidR="004C2AF1" w:rsidRPr="004C2AF1" w:rsidTr="004C2AF1">
        <w:trPr>
          <w:trHeight w:val="6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Marża odsetkowa dla długu zaciągniętego na 25 lat i 80% ceny nieruchomości (przy marży netto na poziomie 1%)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23 313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4 429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Ubezpieczenie od ognia i wody**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2 231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85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Taksa notarialna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2 310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432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357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Koszt odświeżenia (250 zł za m kw.)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13 318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986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2 343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Koszt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7 500 zł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1 402 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lang w:eastAsia="pl-PL"/>
              </w:rPr>
              <w:t>1 159 zł</w:t>
            </w:r>
          </w:p>
        </w:tc>
      </w:tr>
      <w:tr w:rsidR="004C2AF1" w:rsidRPr="004C2AF1" w:rsidTr="004C2AF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+ 19 zł tytułem PCC od ustanowienia hipoteki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2AF1" w:rsidRPr="004C2AF1" w:rsidRDefault="004C2AF1" w:rsidP="004C2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17 888 zł</w:t>
            </w:r>
          </w:p>
        </w:tc>
      </w:tr>
      <w:tr w:rsidR="004C2AF1" w:rsidRPr="004C2AF1" w:rsidTr="004C2AF1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 Zachowawczo oszacowano licząc od 50% finalnej ceny netto produktu lub usługi</w:t>
            </w:r>
          </w:p>
        </w:tc>
      </w:tr>
      <w:tr w:rsidR="004C2AF1" w:rsidRPr="004C2AF1" w:rsidTr="004C2AF1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** Suma dla 25 lat przy składce rocznej na poziomie 0,05% rocznie, założony zysk ubezpieczyciela na poziomie 20%</w:t>
            </w:r>
          </w:p>
        </w:tc>
      </w:tr>
      <w:tr w:rsidR="004C2AF1" w:rsidRPr="004C2AF1" w:rsidTr="004C2AF1">
        <w:trPr>
          <w:trHeight w:val="3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AF1" w:rsidRPr="004C2AF1" w:rsidRDefault="004C2AF1" w:rsidP="004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C2A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Opracowanie własne na podstawie danych BGK, NBP, ISAP, Lion's Bank</w:t>
            </w:r>
          </w:p>
        </w:tc>
      </w:tr>
    </w:tbl>
    <w:p w:rsidR="004C2AF1" w:rsidRDefault="004C2AF1"/>
    <w:p w:rsidR="00B634FC" w:rsidRDefault="00650AFA" w:rsidP="00B634FC">
      <w:r>
        <w:t>Kupując używany lokal często korzysta się z usług pośrednika. Z</w:t>
      </w:r>
      <w:r w:rsidR="00444BEB">
        <w:t>achowawczo można przyjąć stawkę za tę usługę na poziomie 2% (</w:t>
      </w:r>
      <w:r w:rsidR="000A579A">
        <w:t xml:space="preserve">plus </w:t>
      </w:r>
      <w:r w:rsidR="00444BEB">
        <w:t>23% VAT) i tylko od jednej strony transakcji. W sumie w tym przypadku fiskus może wię</w:t>
      </w:r>
      <w:r w:rsidR="000A579A">
        <w:t>c liczyć na przychód w kwocie 1</w:t>
      </w:r>
      <w:r w:rsidR="0029455A">
        <w:t>7</w:t>
      </w:r>
      <w:r w:rsidR="00444BEB">
        <w:t>,</w:t>
      </w:r>
      <w:r w:rsidR="004C2AF1">
        <w:t>9</w:t>
      </w:r>
      <w:r w:rsidR="00444BEB">
        <w:t xml:space="preserve"> tys. zł – </w:t>
      </w:r>
      <w:r>
        <w:t xml:space="preserve">wyraźnie mniej </w:t>
      </w:r>
      <w:r w:rsidR="00444BEB">
        <w:t>niż kwota przeciętnej dotacji z programu „</w:t>
      </w:r>
      <w:proofErr w:type="spellStart"/>
      <w:r w:rsidR="00745680">
        <w:t>MdM</w:t>
      </w:r>
      <w:proofErr w:type="spellEnd"/>
      <w:r w:rsidR="00444BEB">
        <w:t xml:space="preserve">”. </w:t>
      </w:r>
      <w:r>
        <w:t xml:space="preserve">Takie szacunki są jednak nie do końca wiarygodne. Część sprzedających nieruchomości zbywa je po to, aby kupić większe „M”. Wystarczy, aby co drugi zbywca faktycznie kupił lokal od dewelopera i już może się okazać, że </w:t>
      </w:r>
      <w:r w:rsidR="00394022">
        <w:t xml:space="preserve">przychody z dofinansowania jednego modelowego mieszkania używanego windowane są do kwoty </w:t>
      </w:r>
      <w:r w:rsidR="00262020">
        <w:t xml:space="preserve">minimum </w:t>
      </w:r>
      <w:r>
        <w:t>2-3 razy wyższej niż koszt dofinansowania</w:t>
      </w:r>
      <w:r w:rsidR="00394022">
        <w:t xml:space="preserve">. </w:t>
      </w:r>
    </w:p>
    <w:p w:rsidR="00436C8C" w:rsidRPr="00924A04" w:rsidRDefault="00436C8C">
      <w:pPr>
        <w:rPr>
          <w:b/>
          <w:sz w:val="28"/>
          <w:szCs w:val="28"/>
        </w:rPr>
      </w:pPr>
      <w:r w:rsidRPr="00924A04">
        <w:rPr>
          <w:b/>
          <w:sz w:val="28"/>
          <w:szCs w:val="28"/>
        </w:rPr>
        <w:t>Bartosz Turek, Lion’s Bank</w:t>
      </w:r>
      <w:bookmarkStart w:id="0" w:name="_GoBack"/>
      <w:bookmarkEnd w:id="0"/>
    </w:p>
    <w:sectPr w:rsidR="00436C8C" w:rsidRPr="0092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8"/>
    <w:rsid w:val="00016346"/>
    <w:rsid w:val="00024780"/>
    <w:rsid w:val="00071B73"/>
    <w:rsid w:val="0009392F"/>
    <w:rsid w:val="00096BAA"/>
    <w:rsid w:val="000A579A"/>
    <w:rsid w:val="000E22F5"/>
    <w:rsid w:val="0010766F"/>
    <w:rsid w:val="00143CF8"/>
    <w:rsid w:val="0015089D"/>
    <w:rsid w:val="00165D00"/>
    <w:rsid w:val="001B1B29"/>
    <w:rsid w:val="001B7EFC"/>
    <w:rsid w:val="001F1D92"/>
    <w:rsid w:val="00212A4C"/>
    <w:rsid w:val="00221C0F"/>
    <w:rsid w:val="00262020"/>
    <w:rsid w:val="0029455A"/>
    <w:rsid w:val="00296F66"/>
    <w:rsid w:val="002D18F0"/>
    <w:rsid w:val="002E3758"/>
    <w:rsid w:val="0032583B"/>
    <w:rsid w:val="00350545"/>
    <w:rsid w:val="00394022"/>
    <w:rsid w:val="004002A6"/>
    <w:rsid w:val="00434724"/>
    <w:rsid w:val="00436C8C"/>
    <w:rsid w:val="00444BEB"/>
    <w:rsid w:val="004B466F"/>
    <w:rsid w:val="004C2AF1"/>
    <w:rsid w:val="004F0C33"/>
    <w:rsid w:val="005133A3"/>
    <w:rsid w:val="00577843"/>
    <w:rsid w:val="005C6AF3"/>
    <w:rsid w:val="00602D27"/>
    <w:rsid w:val="006110BD"/>
    <w:rsid w:val="00620E12"/>
    <w:rsid w:val="00650AFA"/>
    <w:rsid w:val="00663D12"/>
    <w:rsid w:val="006722AA"/>
    <w:rsid w:val="00721DC5"/>
    <w:rsid w:val="007439AA"/>
    <w:rsid w:val="00745680"/>
    <w:rsid w:val="007471C2"/>
    <w:rsid w:val="007741D3"/>
    <w:rsid w:val="0078302B"/>
    <w:rsid w:val="007A55C0"/>
    <w:rsid w:val="007B4BEF"/>
    <w:rsid w:val="007D0D40"/>
    <w:rsid w:val="008038FE"/>
    <w:rsid w:val="00822424"/>
    <w:rsid w:val="008478BE"/>
    <w:rsid w:val="00850E63"/>
    <w:rsid w:val="008A13B3"/>
    <w:rsid w:val="008D68E9"/>
    <w:rsid w:val="008F1E1B"/>
    <w:rsid w:val="00922C60"/>
    <w:rsid w:val="00924A04"/>
    <w:rsid w:val="009551C8"/>
    <w:rsid w:val="00974FD1"/>
    <w:rsid w:val="009A115F"/>
    <w:rsid w:val="009F254F"/>
    <w:rsid w:val="009F70D1"/>
    <w:rsid w:val="00A16A83"/>
    <w:rsid w:val="00AA6700"/>
    <w:rsid w:val="00AD535F"/>
    <w:rsid w:val="00B44F8D"/>
    <w:rsid w:val="00B510D7"/>
    <w:rsid w:val="00B53912"/>
    <w:rsid w:val="00B634FC"/>
    <w:rsid w:val="00B82E99"/>
    <w:rsid w:val="00BC397B"/>
    <w:rsid w:val="00BE1FBE"/>
    <w:rsid w:val="00BE5432"/>
    <w:rsid w:val="00C17376"/>
    <w:rsid w:val="00C5220B"/>
    <w:rsid w:val="00C975AD"/>
    <w:rsid w:val="00CA6725"/>
    <w:rsid w:val="00CB146E"/>
    <w:rsid w:val="00CE08EE"/>
    <w:rsid w:val="00CE7439"/>
    <w:rsid w:val="00D1158D"/>
    <w:rsid w:val="00D165D6"/>
    <w:rsid w:val="00D270FA"/>
    <w:rsid w:val="00D35BE5"/>
    <w:rsid w:val="00D463CB"/>
    <w:rsid w:val="00DB5869"/>
    <w:rsid w:val="00DD681F"/>
    <w:rsid w:val="00E44B20"/>
    <w:rsid w:val="00E6766F"/>
    <w:rsid w:val="00ED6F13"/>
    <w:rsid w:val="00F63936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Lion's House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Turek</dc:creator>
  <cp:lastModifiedBy>euro</cp:lastModifiedBy>
  <cp:revision>30</cp:revision>
  <cp:lastPrinted>2016-01-29T09:10:00Z</cp:lastPrinted>
  <dcterms:created xsi:type="dcterms:W3CDTF">2016-01-27T08:06:00Z</dcterms:created>
  <dcterms:modified xsi:type="dcterms:W3CDTF">2016-02-15T18:56:00Z</dcterms:modified>
</cp:coreProperties>
</file>