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0B" w:rsidRPr="006A5489" w:rsidRDefault="00EA530B" w:rsidP="006E1721">
      <w:pPr>
        <w:rPr>
          <w:rFonts w:ascii="Times New Roman" w:hAnsi="Times New Roman"/>
          <w:sz w:val="28"/>
          <w:szCs w:val="28"/>
        </w:rPr>
      </w:pPr>
      <w:bookmarkStart w:id="0" w:name="_GoBack"/>
      <w:bookmarkEnd w:id="0"/>
      <w:r w:rsidRPr="006A5489">
        <w:rPr>
          <w:rFonts w:ascii="Times New Roman" w:hAnsi="Times New Roman"/>
          <w:sz w:val="28"/>
          <w:szCs w:val="28"/>
        </w:rPr>
        <w:t>Jacek Życiński</w:t>
      </w:r>
    </w:p>
    <w:p w:rsidR="00EA530B" w:rsidRDefault="00EA530B" w:rsidP="006A5489">
      <w:pPr>
        <w:jc w:val="center"/>
        <w:rPr>
          <w:rFonts w:ascii="Times New Roman" w:hAnsi="Times New Roman"/>
          <w:b/>
          <w:sz w:val="32"/>
          <w:szCs w:val="32"/>
        </w:rPr>
      </w:pPr>
      <w:r w:rsidRPr="006A5489">
        <w:rPr>
          <w:rFonts w:ascii="Times New Roman" w:hAnsi="Times New Roman"/>
          <w:b/>
          <w:sz w:val="32"/>
          <w:szCs w:val="32"/>
        </w:rPr>
        <w:t>Długa droga do zachodnich standardów mieszkaniowych</w:t>
      </w:r>
    </w:p>
    <w:p w:rsidR="00EA530B" w:rsidRPr="006A5489" w:rsidRDefault="00EA530B" w:rsidP="006A5489">
      <w:pPr>
        <w:jc w:val="both"/>
        <w:rPr>
          <w:rFonts w:ascii="Times New Roman" w:hAnsi="Times New Roman"/>
          <w:b/>
          <w:sz w:val="28"/>
          <w:szCs w:val="28"/>
        </w:rPr>
      </w:pPr>
      <w:r w:rsidRPr="006A5489">
        <w:rPr>
          <w:rFonts w:ascii="Times New Roman" w:hAnsi="Times New Roman"/>
          <w:b/>
          <w:sz w:val="28"/>
          <w:szCs w:val="28"/>
        </w:rPr>
        <w:t>Ostrożnie z prywatyzacją</w:t>
      </w:r>
    </w:p>
    <w:p w:rsidR="00EA530B" w:rsidRDefault="00EA530B" w:rsidP="00B42C7E">
      <w:pPr>
        <w:ind w:firstLine="708"/>
        <w:jc w:val="both"/>
        <w:rPr>
          <w:rFonts w:ascii="Times New Roman" w:hAnsi="Times New Roman"/>
          <w:sz w:val="24"/>
          <w:szCs w:val="24"/>
        </w:rPr>
      </w:pPr>
      <w:r>
        <w:rPr>
          <w:rFonts w:ascii="Times New Roman" w:hAnsi="Times New Roman"/>
          <w:sz w:val="24"/>
          <w:szCs w:val="24"/>
        </w:rPr>
        <w:t>Ponad 20 lat po zmianie systemu gospodarczego, w obszarze mieszkalnictwa ciągle nie jesteśmy w stanie zbliżyć do zachodnich standardów. Co więcej trudno jest nawet określić „drogę”, którą powinniśmy podążać, aby tę Europę dogonić. Odniesienie się do doświadczeń państw Europy Zachodniej jest o tyle trudne, że na przełomie lat 70. i 80., zmieniła się tam koncepcja polityki mieszkaniowej. Zrezygnowano z finansowego i organizacyjnego zaangażowania państwa w społeczne budownictwo czynszowe, na korzyść przekazania większych kompetencji do samorządów lokalnych, a także  zwiększenia roli dodatków mieszkaniowych. Wzorowanie się na obecnej polityce państw zachodnich jest o tyle mało skuteczne, że problemy związane z niedostatkiem mieszkań rozwiązywano tam w latach50., 60. i 70.</w:t>
      </w:r>
    </w:p>
    <w:p w:rsidR="00EA530B" w:rsidRDefault="00EA530B" w:rsidP="00B42C7E">
      <w:pPr>
        <w:ind w:firstLine="708"/>
        <w:jc w:val="both"/>
        <w:rPr>
          <w:rFonts w:ascii="Times New Roman" w:hAnsi="Times New Roman"/>
          <w:sz w:val="24"/>
          <w:szCs w:val="24"/>
        </w:rPr>
      </w:pPr>
      <w:r>
        <w:rPr>
          <w:rFonts w:ascii="Times New Roman" w:hAnsi="Times New Roman"/>
          <w:sz w:val="24"/>
          <w:szCs w:val="24"/>
        </w:rPr>
        <w:t xml:space="preserve">Uporządkowanie sytuacji w zakresie mieszkalnictwa utrudnia nam też „choroba”, przez którą przeszły właściwie wszystkie państwa, w których dokonały się zmiany systemu gospodarczego, a mianowicie nadmierna prywatyzacja zasobów mieszkaniowych. Trudno jednak, żeby było inaczej skoro zmieniono system na kapitalistyczny, który opiera się jak wiadomo na własności prywatnej. Prywatyzacja zasobów mieszkaniowych stała się dla większości państw post-komunistycznych sposobem na wyrównanie krzywd związanych z okresem minionym, kiedy to własność prywatna była tępiona. Takie państwa jak Rumunia, Bułgaria, Słowacja, Węgry sprywatyzowały swe zasoby mieszkaniowe w mniej więcej 95%. Nikogo przy tym nie obchodził fakt, że eliminując praktycznie zasoby czynszowe, osiągnięto strukturę własności niespotykaną w państwach Europy Zachodniej gdzie tylko w kilku państwach właścicieli mieszkających we własnych mieszkaniach jest ponad 80%. </w:t>
      </w:r>
    </w:p>
    <w:p w:rsidR="00EA530B" w:rsidRDefault="00EA530B" w:rsidP="00E04C01">
      <w:pPr>
        <w:ind w:firstLine="708"/>
        <w:jc w:val="both"/>
        <w:rPr>
          <w:rFonts w:ascii="Times New Roman" w:hAnsi="Times New Roman"/>
          <w:sz w:val="24"/>
          <w:szCs w:val="24"/>
        </w:rPr>
      </w:pPr>
      <w:r>
        <w:rPr>
          <w:rFonts w:ascii="Times New Roman" w:hAnsi="Times New Roman"/>
          <w:sz w:val="24"/>
          <w:szCs w:val="24"/>
        </w:rPr>
        <w:t>Użyteczności istnienia zasobu czynszowego nie doceniono również i w Polsce. Od zmiany systemu, a więc od ponad 20 lat zasoby czynszowe systematycznie się kurczą. Pod koniec lat 80 mieszkania czynszowe, wliczając w nie spółdzielcze mieszkania lokatorskie, które wówczas stanowiły większość zasobu spółdzielczego, liczyły ponad 50% wszystkich mieszkań. Do dziś udział procentowy mieszkań czynszowych zmniejszył się ponad trzykrotnie. Powodem była oczywiście prywatyzacja, bo jednocześnie powstał projekt utworzenia systemu społecznego budownictwa czynszowego na wzór zachodni. Niestety realizacja nie miała wiele wspólnego z założeniami. Zamiast 40 tysięcy mieszkań rocznie, budowano zaledwie 5-7 tysięcy, a ostatnio zmniejszyło się to nawet do niewiele ponad 3 tysiące. Nie udało się też przekształcić w zasób społeczny z prawdziwego zdarzenia zasobu komunalnego, w którym z jednej strony mieszkali ludzie o dochodach nie kwalifikujących ich do tego zasobu, z drugiej zaś poprzez zwiększenie uprawnień lokatorów (m.in. możliwość „dziedziczenia” mieszkań) ograniczono praktycznie do minimum mobilność lokatorów.</w:t>
      </w: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Pr="006A5489" w:rsidRDefault="00EA530B" w:rsidP="006A5489">
      <w:pPr>
        <w:spacing w:after="0"/>
        <w:jc w:val="both"/>
        <w:rPr>
          <w:rFonts w:ascii="Times New Roman" w:hAnsi="Times New Roman"/>
          <w:b/>
          <w:sz w:val="28"/>
          <w:szCs w:val="28"/>
        </w:rPr>
      </w:pPr>
      <w:r w:rsidRPr="006A5489">
        <w:rPr>
          <w:rFonts w:ascii="Times New Roman" w:hAnsi="Times New Roman"/>
          <w:b/>
          <w:sz w:val="28"/>
          <w:szCs w:val="28"/>
        </w:rPr>
        <w:lastRenderedPageBreak/>
        <w:t>Europejskie wzory</w:t>
      </w:r>
    </w:p>
    <w:p w:rsidR="00EA530B" w:rsidRPr="009605EC" w:rsidRDefault="00EA530B" w:rsidP="004A051B">
      <w:pPr>
        <w:spacing w:after="0"/>
        <w:ind w:firstLine="708"/>
        <w:jc w:val="both"/>
        <w:rPr>
          <w:rFonts w:ascii="Times New Roman" w:hAnsi="Times New Roman"/>
          <w:b/>
          <w:sz w:val="24"/>
          <w:szCs w:val="24"/>
        </w:rPr>
      </w:pPr>
    </w:p>
    <w:p w:rsidR="00EA530B" w:rsidRPr="00435DAF" w:rsidRDefault="00EA530B" w:rsidP="004A051B">
      <w:pPr>
        <w:spacing w:after="0"/>
        <w:ind w:firstLine="708"/>
        <w:jc w:val="both"/>
        <w:rPr>
          <w:rFonts w:ascii="Times New Roman" w:hAnsi="Times New Roman"/>
          <w:vanish/>
          <w:sz w:val="24"/>
          <w:szCs w:val="24"/>
          <w:specVanish/>
        </w:rPr>
      </w:pPr>
      <w:r>
        <w:rPr>
          <w:rFonts w:ascii="Times New Roman" w:hAnsi="Times New Roman"/>
          <w:sz w:val="24"/>
          <w:szCs w:val="24"/>
        </w:rPr>
        <w:t xml:space="preserve">Szukanie europejskich wzorów w zakresie modelu własności zasobów, utrudnia niejednorodność sytuacji mieszkaniowej w poszczególnych państwach. Z jednej strony są takie państwa jak Niemcy czy Szwajcaria gdzie mieszkań czynszowych jest ponad 50% (w przypadku Szwajcarii jest to nawet ponad 60%), z drugiej zaś takie jak Hiszpania, Irlandia  czy Grecja, gdzie mieszkań tych jest zaledwie kilkanaście procent. Jednak gdy patrzy się na zmiany jakie w Europie Zachodniej zaszły po II wojnie </w:t>
      </w:r>
    </w:p>
    <w:p w:rsidR="00EA530B" w:rsidRPr="00435DAF" w:rsidRDefault="00EA530B" w:rsidP="004A051B">
      <w:pPr>
        <w:spacing w:after="0"/>
        <w:ind w:firstLine="708"/>
        <w:jc w:val="both"/>
        <w:rPr>
          <w:rFonts w:ascii="Times New Roman" w:hAnsi="Times New Roman"/>
          <w:vanish/>
          <w:sz w:val="24"/>
          <w:szCs w:val="24"/>
          <w:specVanish/>
        </w:rPr>
      </w:pPr>
      <w:r>
        <w:rPr>
          <w:rFonts w:ascii="Times New Roman" w:hAnsi="Times New Roman"/>
          <w:sz w:val="24"/>
          <w:szCs w:val="24"/>
        </w:rPr>
        <w:t xml:space="preserve"> </w:t>
      </w:r>
    </w:p>
    <w:p w:rsidR="00EA530B" w:rsidRDefault="00EA530B" w:rsidP="004A051B">
      <w:pPr>
        <w:spacing w:after="0"/>
        <w:ind w:firstLine="708"/>
        <w:jc w:val="both"/>
        <w:rPr>
          <w:rFonts w:ascii="Times New Roman" w:hAnsi="Times New Roman"/>
          <w:sz w:val="24"/>
          <w:szCs w:val="24"/>
        </w:rPr>
      </w:pPr>
      <w:r>
        <w:rPr>
          <w:rFonts w:ascii="Times New Roman" w:hAnsi="Times New Roman"/>
          <w:sz w:val="24"/>
          <w:szCs w:val="24"/>
        </w:rPr>
        <w:t xml:space="preserve"> światowej, wydaje się że różnice te zaczynają się stopniowo zacierać. Zasoby czynszowe kurczyły się stopniowo we wszystkich państwach europejskich właściwie do roku 2000, po którym to roku proces w większości państw się zatrzymał, a np. w znanej z niewielkich zasobów czynszowych Hiszpanii, rozpoczął się proces odwrotny.</w:t>
      </w:r>
    </w:p>
    <w:p w:rsidR="00EA530B" w:rsidRDefault="00EA530B" w:rsidP="006A5489">
      <w:pPr>
        <w:spacing w:after="0"/>
        <w:ind w:firstLine="708"/>
        <w:rPr>
          <w:rFonts w:ascii="Times New Roman" w:hAnsi="Times New Roman"/>
          <w:b/>
          <w:sz w:val="24"/>
          <w:szCs w:val="24"/>
        </w:rPr>
      </w:pPr>
    </w:p>
    <w:p w:rsidR="00EA530B" w:rsidRPr="00DA2A6B" w:rsidRDefault="00EA530B" w:rsidP="006A5489">
      <w:pPr>
        <w:spacing w:after="0"/>
        <w:ind w:firstLine="708"/>
        <w:rPr>
          <w:rFonts w:ascii="Times New Roman" w:hAnsi="Times New Roman"/>
          <w:b/>
          <w:sz w:val="24"/>
          <w:szCs w:val="24"/>
        </w:rPr>
      </w:pPr>
      <w:r w:rsidRPr="00DA2A6B">
        <w:rPr>
          <w:rFonts w:ascii="Times New Roman" w:hAnsi="Times New Roman"/>
          <w:b/>
          <w:sz w:val="24"/>
          <w:szCs w:val="24"/>
        </w:rPr>
        <w:t>Tabl.</w:t>
      </w:r>
      <w:r>
        <w:rPr>
          <w:rFonts w:ascii="Times New Roman" w:hAnsi="Times New Roman"/>
          <w:b/>
          <w:sz w:val="24"/>
          <w:szCs w:val="24"/>
        </w:rPr>
        <w:t>1</w:t>
      </w:r>
      <w:r w:rsidRPr="00DA2A6B">
        <w:rPr>
          <w:rFonts w:ascii="Times New Roman" w:hAnsi="Times New Roman"/>
          <w:b/>
          <w:sz w:val="24"/>
          <w:szCs w:val="24"/>
        </w:rPr>
        <w:t xml:space="preserve"> - Zróżnicowanie zasobów czynszowych w państwach europejskich</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843"/>
        <w:gridCol w:w="1842"/>
      </w:tblGrid>
      <w:tr w:rsidR="00EA530B" w:rsidRPr="00B371A0" w:rsidTr="006A5489">
        <w:trPr>
          <w:trHeight w:val="198"/>
        </w:trPr>
        <w:tc>
          <w:tcPr>
            <w:tcW w:w="1843" w:type="dxa"/>
            <w:vMerge w:val="restart"/>
          </w:tcPr>
          <w:p w:rsidR="00EA530B" w:rsidRPr="00B371A0" w:rsidRDefault="00EA530B" w:rsidP="00BD5E54">
            <w:pPr>
              <w:spacing w:before="100" w:beforeAutospacing="1" w:after="0"/>
              <w:jc w:val="center"/>
              <w:rPr>
                <w:rFonts w:ascii="Times New Roman" w:hAnsi="Times New Roman"/>
                <w:b/>
                <w:sz w:val="24"/>
                <w:szCs w:val="24"/>
              </w:rPr>
            </w:pPr>
            <w:r w:rsidRPr="00B371A0">
              <w:rPr>
                <w:rFonts w:ascii="Times New Roman" w:hAnsi="Times New Roman"/>
                <w:b/>
                <w:sz w:val="24"/>
                <w:szCs w:val="24"/>
              </w:rPr>
              <w:t>Państwo</w:t>
            </w:r>
          </w:p>
        </w:tc>
        <w:tc>
          <w:tcPr>
            <w:tcW w:w="5528" w:type="dxa"/>
            <w:gridSpan w:val="3"/>
            <w:tcBorders>
              <w:bottom w:val="single" w:sz="4"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  mieszkań czynszowych</w:t>
            </w:r>
          </w:p>
        </w:tc>
      </w:tr>
      <w:tr w:rsidR="00EA530B" w:rsidRPr="00B371A0" w:rsidTr="006A5489">
        <w:trPr>
          <w:trHeight w:val="302"/>
        </w:trPr>
        <w:tc>
          <w:tcPr>
            <w:tcW w:w="1843" w:type="dxa"/>
            <w:vMerge/>
            <w:tcBorders>
              <w:bottom w:val="single" w:sz="18" w:space="0" w:color="auto"/>
            </w:tcBorders>
          </w:tcPr>
          <w:p w:rsidR="00EA530B" w:rsidRPr="00B371A0" w:rsidRDefault="00EA530B" w:rsidP="00BD5E54">
            <w:pPr>
              <w:spacing w:before="100" w:beforeAutospacing="1" w:after="0"/>
              <w:jc w:val="center"/>
              <w:rPr>
                <w:rFonts w:ascii="Times New Roman" w:hAnsi="Times New Roman"/>
                <w:b/>
                <w:sz w:val="24"/>
                <w:szCs w:val="24"/>
              </w:rPr>
            </w:pPr>
          </w:p>
        </w:tc>
        <w:tc>
          <w:tcPr>
            <w:tcW w:w="1843" w:type="dxa"/>
            <w:tcBorders>
              <w:top w:val="single" w:sz="4" w:space="0" w:color="auto"/>
              <w:bottom w:val="single" w:sz="18"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ogółem</w:t>
            </w:r>
          </w:p>
        </w:tc>
        <w:tc>
          <w:tcPr>
            <w:tcW w:w="1843" w:type="dxa"/>
            <w:tcBorders>
              <w:top w:val="single" w:sz="4" w:space="0" w:color="auto"/>
              <w:bottom w:val="single" w:sz="18" w:space="0" w:color="auto"/>
              <w:right w:val="single" w:sz="4"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prywatnych</w:t>
            </w:r>
          </w:p>
        </w:tc>
        <w:tc>
          <w:tcPr>
            <w:tcW w:w="1842" w:type="dxa"/>
            <w:tcBorders>
              <w:top w:val="single" w:sz="4" w:space="0" w:color="auto"/>
              <w:left w:val="single" w:sz="4" w:space="0" w:color="auto"/>
              <w:bottom w:val="single" w:sz="18"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społecznych</w:t>
            </w:r>
          </w:p>
        </w:tc>
      </w:tr>
      <w:tr w:rsidR="00EA530B" w:rsidRPr="00B371A0" w:rsidTr="006A5489">
        <w:tc>
          <w:tcPr>
            <w:tcW w:w="1843" w:type="dxa"/>
            <w:tcBorders>
              <w:top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Niemcy</w:t>
            </w:r>
          </w:p>
        </w:tc>
        <w:tc>
          <w:tcPr>
            <w:tcW w:w="1843" w:type="dxa"/>
            <w:tcBorders>
              <w:top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54</w:t>
            </w:r>
          </w:p>
        </w:tc>
        <w:tc>
          <w:tcPr>
            <w:tcW w:w="1843" w:type="dxa"/>
            <w:tcBorders>
              <w:top w:val="single" w:sz="18" w:space="0" w:color="auto"/>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49</w:t>
            </w:r>
          </w:p>
        </w:tc>
        <w:tc>
          <w:tcPr>
            <w:tcW w:w="1842" w:type="dxa"/>
            <w:tcBorders>
              <w:top w:val="single" w:sz="18" w:space="0" w:color="auto"/>
              <w:lef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5</w:t>
            </w:r>
          </w:p>
        </w:tc>
      </w:tr>
      <w:tr w:rsidR="00EA530B" w:rsidRPr="00B371A0" w:rsidTr="006A5489">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Holandia</w:t>
            </w:r>
          </w:p>
        </w:tc>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42</w:t>
            </w:r>
          </w:p>
        </w:tc>
        <w:tc>
          <w:tcPr>
            <w:tcW w:w="1843" w:type="dxa"/>
            <w:tcBorders>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10</w:t>
            </w:r>
          </w:p>
        </w:tc>
        <w:tc>
          <w:tcPr>
            <w:tcW w:w="1842" w:type="dxa"/>
            <w:tcBorders>
              <w:lef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32</w:t>
            </w:r>
          </w:p>
        </w:tc>
      </w:tr>
      <w:tr w:rsidR="00EA530B" w:rsidRPr="00B371A0" w:rsidTr="006A5489">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Dania</w:t>
            </w:r>
          </w:p>
        </w:tc>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39</w:t>
            </w:r>
          </w:p>
        </w:tc>
        <w:tc>
          <w:tcPr>
            <w:tcW w:w="1843" w:type="dxa"/>
            <w:tcBorders>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20</w:t>
            </w:r>
          </w:p>
        </w:tc>
        <w:tc>
          <w:tcPr>
            <w:tcW w:w="1842" w:type="dxa"/>
            <w:tcBorders>
              <w:lef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19</w:t>
            </w:r>
          </w:p>
        </w:tc>
      </w:tr>
      <w:tr w:rsidR="00EA530B" w:rsidRPr="00B371A0" w:rsidTr="006A5489">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Francja</w:t>
            </w:r>
          </w:p>
        </w:tc>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39</w:t>
            </w:r>
          </w:p>
        </w:tc>
        <w:tc>
          <w:tcPr>
            <w:tcW w:w="1843" w:type="dxa"/>
            <w:tcBorders>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23</w:t>
            </w:r>
          </w:p>
        </w:tc>
        <w:tc>
          <w:tcPr>
            <w:tcW w:w="1842" w:type="dxa"/>
            <w:tcBorders>
              <w:lef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16</w:t>
            </w:r>
          </w:p>
        </w:tc>
      </w:tr>
      <w:tr w:rsidR="00EA530B" w:rsidRPr="00B371A0" w:rsidTr="006A5489">
        <w:tc>
          <w:tcPr>
            <w:tcW w:w="1843" w:type="dxa"/>
            <w:tcBorders>
              <w:bottom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Zjedn. Król.</w:t>
            </w:r>
          </w:p>
        </w:tc>
        <w:tc>
          <w:tcPr>
            <w:tcW w:w="1843" w:type="dxa"/>
            <w:tcBorders>
              <w:bottom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31</w:t>
            </w:r>
          </w:p>
        </w:tc>
        <w:tc>
          <w:tcPr>
            <w:tcW w:w="1843" w:type="dxa"/>
            <w:tcBorders>
              <w:bottom w:val="single" w:sz="18" w:space="0" w:color="auto"/>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11</w:t>
            </w:r>
          </w:p>
        </w:tc>
        <w:tc>
          <w:tcPr>
            <w:tcW w:w="1842" w:type="dxa"/>
            <w:tcBorders>
              <w:left w:val="single" w:sz="4" w:space="0" w:color="auto"/>
              <w:bottom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20</w:t>
            </w:r>
          </w:p>
        </w:tc>
      </w:tr>
      <w:tr w:rsidR="00EA530B" w:rsidRPr="00B371A0" w:rsidTr="006A5489">
        <w:tc>
          <w:tcPr>
            <w:tcW w:w="1843" w:type="dxa"/>
            <w:tcBorders>
              <w:top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Grecja</w:t>
            </w:r>
          </w:p>
        </w:tc>
        <w:tc>
          <w:tcPr>
            <w:tcW w:w="1843" w:type="dxa"/>
            <w:tcBorders>
              <w:top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20</w:t>
            </w:r>
          </w:p>
        </w:tc>
        <w:tc>
          <w:tcPr>
            <w:tcW w:w="1843" w:type="dxa"/>
            <w:tcBorders>
              <w:top w:val="single" w:sz="18" w:space="0" w:color="auto"/>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20</w:t>
            </w:r>
          </w:p>
        </w:tc>
        <w:tc>
          <w:tcPr>
            <w:tcW w:w="1842" w:type="dxa"/>
            <w:tcBorders>
              <w:top w:val="single" w:sz="18" w:space="0" w:color="auto"/>
              <w:lef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0</w:t>
            </w:r>
          </w:p>
        </w:tc>
      </w:tr>
      <w:tr w:rsidR="00EA530B" w:rsidRPr="00B371A0" w:rsidTr="006A5489">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Włochy</w:t>
            </w:r>
          </w:p>
        </w:tc>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19</w:t>
            </w:r>
          </w:p>
        </w:tc>
        <w:tc>
          <w:tcPr>
            <w:tcW w:w="1843" w:type="dxa"/>
            <w:tcBorders>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15</w:t>
            </w:r>
          </w:p>
        </w:tc>
        <w:tc>
          <w:tcPr>
            <w:tcW w:w="1842" w:type="dxa"/>
            <w:tcBorders>
              <w:lef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4</w:t>
            </w:r>
          </w:p>
        </w:tc>
      </w:tr>
      <w:tr w:rsidR="00EA530B" w:rsidRPr="00B371A0" w:rsidTr="006A5489">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Irlandia</w:t>
            </w:r>
          </w:p>
        </w:tc>
        <w:tc>
          <w:tcPr>
            <w:tcW w:w="1843" w:type="dxa"/>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19</w:t>
            </w:r>
          </w:p>
        </w:tc>
        <w:tc>
          <w:tcPr>
            <w:tcW w:w="1843" w:type="dxa"/>
            <w:tcBorders>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11</w:t>
            </w:r>
          </w:p>
        </w:tc>
        <w:tc>
          <w:tcPr>
            <w:tcW w:w="1842" w:type="dxa"/>
            <w:tcBorders>
              <w:lef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8</w:t>
            </w:r>
          </w:p>
        </w:tc>
      </w:tr>
      <w:tr w:rsidR="00EA530B" w:rsidRPr="00B371A0" w:rsidTr="006A5489">
        <w:tc>
          <w:tcPr>
            <w:tcW w:w="1843" w:type="dxa"/>
            <w:tcBorders>
              <w:bottom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Hiszpania</w:t>
            </w:r>
          </w:p>
        </w:tc>
        <w:tc>
          <w:tcPr>
            <w:tcW w:w="1843" w:type="dxa"/>
            <w:tcBorders>
              <w:bottom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13</w:t>
            </w:r>
          </w:p>
        </w:tc>
        <w:tc>
          <w:tcPr>
            <w:tcW w:w="1843" w:type="dxa"/>
            <w:tcBorders>
              <w:bottom w:val="single" w:sz="18" w:space="0" w:color="auto"/>
              <w:right w:val="single" w:sz="4"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11</w:t>
            </w:r>
          </w:p>
        </w:tc>
        <w:tc>
          <w:tcPr>
            <w:tcW w:w="1842" w:type="dxa"/>
            <w:tcBorders>
              <w:left w:val="single" w:sz="4" w:space="0" w:color="auto"/>
              <w:bottom w:val="single" w:sz="18" w:space="0" w:color="auto"/>
            </w:tcBorders>
          </w:tcPr>
          <w:p w:rsidR="00EA530B" w:rsidRPr="00B371A0" w:rsidRDefault="00EA530B" w:rsidP="00BD5E54">
            <w:pPr>
              <w:spacing w:before="100" w:beforeAutospacing="1" w:after="0"/>
              <w:jc w:val="center"/>
              <w:rPr>
                <w:rFonts w:ascii="Times New Roman" w:hAnsi="Times New Roman"/>
                <w:sz w:val="24"/>
                <w:szCs w:val="24"/>
              </w:rPr>
            </w:pPr>
            <w:r w:rsidRPr="00B371A0">
              <w:rPr>
                <w:rFonts w:ascii="Times New Roman" w:hAnsi="Times New Roman"/>
                <w:sz w:val="24"/>
                <w:szCs w:val="24"/>
              </w:rPr>
              <w:t>2</w:t>
            </w:r>
          </w:p>
        </w:tc>
      </w:tr>
      <w:tr w:rsidR="00EA530B" w:rsidRPr="00B371A0" w:rsidTr="006A5489">
        <w:tc>
          <w:tcPr>
            <w:tcW w:w="1843" w:type="dxa"/>
            <w:tcBorders>
              <w:top w:val="single" w:sz="18"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Polska</w:t>
            </w:r>
          </w:p>
        </w:tc>
        <w:tc>
          <w:tcPr>
            <w:tcW w:w="1843" w:type="dxa"/>
            <w:tcBorders>
              <w:top w:val="single" w:sz="18"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16</w:t>
            </w:r>
          </w:p>
        </w:tc>
        <w:tc>
          <w:tcPr>
            <w:tcW w:w="1843" w:type="dxa"/>
            <w:tcBorders>
              <w:top w:val="single" w:sz="18" w:space="0" w:color="auto"/>
              <w:right w:val="single" w:sz="4"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3</w:t>
            </w:r>
          </w:p>
        </w:tc>
        <w:tc>
          <w:tcPr>
            <w:tcW w:w="1842" w:type="dxa"/>
            <w:tcBorders>
              <w:top w:val="single" w:sz="18" w:space="0" w:color="auto"/>
              <w:left w:val="single" w:sz="4" w:space="0" w:color="auto"/>
            </w:tcBorders>
          </w:tcPr>
          <w:p w:rsidR="00EA530B" w:rsidRPr="00B371A0" w:rsidRDefault="00EA530B" w:rsidP="00BD5E54">
            <w:pPr>
              <w:spacing w:after="0"/>
              <w:jc w:val="center"/>
              <w:rPr>
                <w:rFonts w:ascii="Times New Roman" w:hAnsi="Times New Roman"/>
                <w:b/>
                <w:sz w:val="24"/>
                <w:szCs w:val="24"/>
              </w:rPr>
            </w:pPr>
            <w:r w:rsidRPr="00B371A0">
              <w:rPr>
                <w:rFonts w:ascii="Times New Roman" w:hAnsi="Times New Roman"/>
                <w:b/>
                <w:sz w:val="24"/>
                <w:szCs w:val="24"/>
              </w:rPr>
              <w:t>13</w:t>
            </w:r>
          </w:p>
        </w:tc>
      </w:tr>
      <w:tr w:rsidR="00EA530B" w:rsidRPr="00B371A0" w:rsidTr="006A5489">
        <w:tc>
          <w:tcPr>
            <w:tcW w:w="1843" w:type="dxa"/>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Estonia</w:t>
            </w:r>
          </w:p>
        </w:tc>
        <w:tc>
          <w:tcPr>
            <w:tcW w:w="1843" w:type="dxa"/>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4</w:t>
            </w:r>
          </w:p>
        </w:tc>
        <w:tc>
          <w:tcPr>
            <w:tcW w:w="1843" w:type="dxa"/>
            <w:tcBorders>
              <w:right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3</w:t>
            </w:r>
          </w:p>
        </w:tc>
        <w:tc>
          <w:tcPr>
            <w:tcW w:w="1842" w:type="dxa"/>
            <w:tcBorders>
              <w:left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1</w:t>
            </w:r>
          </w:p>
        </w:tc>
      </w:tr>
      <w:tr w:rsidR="00EA530B" w:rsidRPr="00B371A0" w:rsidTr="006A5489">
        <w:trPr>
          <w:trHeight w:val="232"/>
        </w:trPr>
        <w:tc>
          <w:tcPr>
            <w:tcW w:w="1843" w:type="dxa"/>
            <w:tcBorders>
              <w:bottom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Rumunia</w:t>
            </w:r>
          </w:p>
        </w:tc>
        <w:tc>
          <w:tcPr>
            <w:tcW w:w="1843" w:type="dxa"/>
            <w:tcBorders>
              <w:bottom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3</w:t>
            </w:r>
          </w:p>
        </w:tc>
        <w:tc>
          <w:tcPr>
            <w:tcW w:w="1843" w:type="dxa"/>
            <w:tcBorders>
              <w:bottom w:val="single" w:sz="4" w:space="0" w:color="auto"/>
              <w:right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1</w:t>
            </w:r>
          </w:p>
        </w:tc>
        <w:tc>
          <w:tcPr>
            <w:tcW w:w="1842" w:type="dxa"/>
            <w:tcBorders>
              <w:left w:val="single" w:sz="4" w:space="0" w:color="auto"/>
              <w:bottom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2</w:t>
            </w:r>
          </w:p>
        </w:tc>
      </w:tr>
      <w:tr w:rsidR="00EA530B" w:rsidRPr="00B371A0" w:rsidTr="006A5489">
        <w:trPr>
          <w:trHeight w:val="208"/>
        </w:trPr>
        <w:tc>
          <w:tcPr>
            <w:tcW w:w="1843" w:type="dxa"/>
            <w:tcBorders>
              <w:top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Słowacja</w:t>
            </w:r>
          </w:p>
        </w:tc>
        <w:tc>
          <w:tcPr>
            <w:tcW w:w="1843" w:type="dxa"/>
            <w:tcBorders>
              <w:top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3</w:t>
            </w:r>
          </w:p>
        </w:tc>
        <w:tc>
          <w:tcPr>
            <w:tcW w:w="1843" w:type="dxa"/>
            <w:tcBorders>
              <w:top w:val="single" w:sz="4" w:space="0" w:color="auto"/>
              <w:right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1</w:t>
            </w:r>
          </w:p>
        </w:tc>
        <w:tc>
          <w:tcPr>
            <w:tcW w:w="1842" w:type="dxa"/>
            <w:tcBorders>
              <w:top w:val="single" w:sz="4" w:space="0" w:color="auto"/>
              <w:left w:val="single" w:sz="4" w:space="0" w:color="auto"/>
            </w:tcBorders>
          </w:tcPr>
          <w:p w:rsidR="00EA530B" w:rsidRPr="00B371A0" w:rsidRDefault="00EA530B" w:rsidP="00BD5E54">
            <w:pPr>
              <w:spacing w:after="0"/>
              <w:jc w:val="center"/>
              <w:rPr>
                <w:rFonts w:ascii="Times New Roman" w:hAnsi="Times New Roman"/>
                <w:sz w:val="24"/>
                <w:szCs w:val="24"/>
              </w:rPr>
            </w:pPr>
            <w:r w:rsidRPr="00B371A0">
              <w:rPr>
                <w:rFonts w:ascii="Times New Roman" w:hAnsi="Times New Roman"/>
                <w:sz w:val="24"/>
                <w:szCs w:val="24"/>
              </w:rPr>
              <w:t>2</w:t>
            </w:r>
          </w:p>
        </w:tc>
      </w:tr>
    </w:tbl>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Default="00EA530B" w:rsidP="006A5489">
      <w:pPr>
        <w:spacing w:after="0"/>
        <w:ind w:firstLine="708"/>
        <w:jc w:val="both"/>
        <w:rPr>
          <w:rFonts w:ascii="Times New Roman" w:hAnsi="Times New Roman"/>
          <w:sz w:val="24"/>
          <w:szCs w:val="24"/>
        </w:rPr>
      </w:pPr>
      <w:r>
        <w:rPr>
          <w:rFonts w:ascii="Times New Roman" w:hAnsi="Times New Roman"/>
          <w:sz w:val="24"/>
          <w:szCs w:val="24"/>
        </w:rPr>
        <w:t>Obecnie średnia europejska to mniej więcej 65% właścicieli mieszkań mieszkających we własnych mieszkaniach. Stanowiące ok. 35% zasoby czynszowe dzielą się na</w:t>
      </w:r>
      <w:r w:rsidRPr="00B054A1">
        <w:rPr>
          <w:rFonts w:ascii="Times New Roman" w:hAnsi="Times New Roman"/>
          <w:sz w:val="24"/>
          <w:szCs w:val="24"/>
        </w:rPr>
        <w:t xml:space="preserve"> </w:t>
      </w:r>
      <w:r>
        <w:rPr>
          <w:rFonts w:ascii="Times New Roman" w:hAnsi="Times New Roman"/>
          <w:sz w:val="24"/>
          <w:szCs w:val="24"/>
        </w:rPr>
        <w:t>dwa rodzaje: prywatne (20%), których właścicielem jest na ogół osoba fizyczna zarabiająca na ich wynajmie i społeczne (15%) - będące w posiadaniu gmin lub działających bez zysku organizacji, skierowane do osób o średnich i niskich dochodach. Jak na tym tle prezentuje się Polska? Trudno powiedzieć. Prywatnych zasobów czynszowych statystyki GUS-u nie wykazują, pozostają więc tylko niezbyt dokładne szacunki</w:t>
      </w:r>
      <w:r w:rsidRPr="00A52941">
        <w:rPr>
          <w:rFonts w:ascii="Times New Roman" w:hAnsi="Times New Roman"/>
          <w:sz w:val="24"/>
          <w:szCs w:val="24"/>
        </w:rPr>
        <w:t xml:space="preserve"> </w:t>
      </w:r>
      <w:r>
        <w:rPr>
          <w:rFonts w:ascii="Times New Roman" w:hAnsi="Times New Roman"/>
          <w:sz w:val="24"/>
          <w:szCs w:val="24"/>
        </w:rPr>
        <w:t xml:space="preserve">określające ich liczbę na 300-500 tys., a więc ok. 3% ogółu mieszkań. Jeśli chodzi natomiast o społeczne budownictwo czynszowe to odbiega ono znacznie od zachodnio-europejskich standardów. Jeśli jednak uznamy za społeczne mieszkania czynszowe: zasoby komunalne, zakładowe, skarbu państwa, </w:t>
      </w:r>
      <w:proofErr w:type="spellStart"/>
      <w:r>
        <w:rPr>
          <w:rFonts w:ascii="Times New Roman" w:hAnsi="Times New Roman"/>
          <w:sz w:val="24"/>
          <w:szCs w:val="24"/>
        </w:rPr>
        <w:t>tbs</w:t>
      </w:r>
      <w:proofErr w:type="spellEnd"/>
      <w:r>
        <w:rPr>
          <w:rFonts w:ascii="Times New Roman" w:hAnsi="Times New Roman"/>
          <w:sz w:val="24"/>
          <w:szCs w:val="24"/>
        </w:rPr>
        <w:t>-y oraz spółdzielcze mieszkania lokatorskie (tabl. 1) to będzie ich ogółem 13,3%.</w:t>
      </w:r>
      <w:r w:rsidRPr="00F422DF">
        <w:rPr>
          <w:rFonts w:ascii="Times New Roman" w:hAnsi="Times New Roman"/>
          <w:sz w:val="24"/>
          <w:szCs w:val="24"/>
        </w:rPr>
        <w:t xml:space="preserve"> </w:t>
      </w:r>
      <w:r>
        <w:rPr>
          <w:rFonts w:ascii="Times New Roman" w:hAnsi="Times New Roman"/>
          <w:sz w:val="24"/>
          <w:szCs w:val="24"/>
        </w:rPr>
        <w:t>W sumie więc mieszkań czynszowych jest w Polsce ok. 16%.</w:t>
      </w:r>
    </w:p>
    <w:p w:rsidR="00EA530B" w:rsidRPr="00E57022" w:rsidRDefault="00EA530B" w:rsidP="00A52941">
      <w:pPr>
        <w:spacing w:after="0"/>
        <w:ind w:firstLine="708"/>
        <w:jc w:val="center"/>
        <w:rPr>
          <w:rFonts w:ascii="Times New Roman" w:hAnsi="Times New Roman"/>
          <w:b/>
          <w:sz w:val="24"/>
          <w:szCs w:val="24"/>
        </w:rPr>
      </w:pPr>
      <w:r>
        <w:rPr>
          <w:rFonts w:ascii="Times New Roman" w:hAnsi="Times New Roman"/>
          <w:b/>
          <w:sz w:val="24"/>
          <w:szCs w:val="24"/>
        </w:rPr>
        <w:lastRenderedPageBreak/>
        <w:t xml:space="preserve">Tabl. 2  </w:t>
      </w:r>
      <w:r w:rsidRPr="00E57022">
        <w:rPr>
          <w:rFonts w:ascii="Times New Roman" w:hAnsi="Times New Roman"/>
          <w:b/>
          <w:sz w:val="24"/>
          <w:szCs w:val="24"/>
        </w:rPr>
        <w:t xml:space="preserve">Społeczne  mieszkania czynszowe w </w:t>
      </w:r>
      <w:r>
        <w:rPr>
          <w:rFonts w:ascii="Times New Roman" w:hAnsi="Times New Roman"/>
          <w:b/>
          <w:sz w:val="24"/>
          <w:szCs w:val="24"/>
        </w:rPr>
        <w:t>[</w:t>
      </w:r>
      <w:r w:rsidRPr="00E57022">
        <w:rPr>
          <w:rFonts w:ascii="Times New Roman" w:hAnsi="Times New Roman"/>
          <w:b/>
          <w:sz w:val="24"/>
          <w:szCs w:val="24"/>
        </w:rPr>
        <w:t>mln</w:t>
      </w:r>
      <w:r>
        <w:rPr>
          <w:rFonts w:ascii="Times New Roman" w:hAnsi="Times New Roman"/>
          <w:b/>
          <w:sz w:val="24"/>
          <w:szCs w:val="24"/>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1"/>
        <w:gridCol w:w="1276"/>
        <w:gridCol w:w="993"/>
        <w:gridCol w:w="1276"/>
        <w:gridCol w:w="1276"/>
        <w:gridCol w:w="1276"/>
        <w:gridCol w:w="992"/>
        <w:gridCol w:w="850"/>
      </w:tblGrid>
      <w:tr w:rsidR="00EA530B" w:rsidRPr="00B371A0" w:rsidTr="00BD5E54">
        <w:trPr>
          <w:trHeight w:val="510"/>
        </w:trPr>
        <w:tc>
          <w:tcPr>
            <w:tcW w:w="1242" w:type="dxa"/>
            <w:vMerge w:val="restart"/>
          </w:tcPr>
          <w:p w:rsidR="00EA530B" w:rsidRPr="00B371A0" w:rsidRDefault="00EA530B" w:rsidP="00BD5E54">
            <w:pPr>
              <w:spacing w:after="0"/>
              <w:jc w:val="center"/>
              <w:rPr>
                <w:rFonts w:ascii="Times New Roman" w:hAnsi="Times New Roman"/>
                <w:b/>
                <w:sz w:val="20"/>
                <w:szCs w:val="20"/>
              </w:rPr>
            </w:pPr>
            <w:r w:rsidRPr="00B371A0">
              <w:rPr>
                <w:rFonts w:ascii="Times New Roman" w:hAnsi="Times New Roman"/>
                <w:b/>
                <w:sz w:val="20"/>
                <w:szCs w:val="20"/>
              </w:rPr>
              <w:t>Mieszkania ogółem</w:t>
            </w:r>
          </w:p>
        </w:tc>
        <w:tc>
          <w:tcPr>
            <w:tcW w:w="2268" w:type="dxa"/>
            <w:gridSpan w:val="2"/>
            <w:tcBorders>
              <w:bottom w:val="single" w:sz="4" w:space="0" w:color="auto"/>
            </w:tcBorders>
          </w:tcPr>
          <w:p w:rsidR="00EA530B" w:rsidRPr="00B371A0" w:rsidRDefault="00EA530B" w:rsidP="00BD5E54">
            <w:pPr>
              <w:spacing w:after="0"/>
              <w:jc w:val="center"/>
              <w:rPr>
                <w:rFonts w:ascii="Times New Roman" w:hAnsi="Times New Roman"/>
                <w:b/>
                <w:sz w:val="20"/>
                <w:szCs w:val="20"/>
              </w:rPr>
            </w:pPr>
            <w:r w:rsidRPr="00B371A0">
              <w:rPr>
                <w:rFonts w:ascii="Times New Roman" w:hAnsi="Times New Roman"/>
                <w:b/>
                <w:sz w:val="20"/>
                <w:szCs w:val="20"/>
              </w:rPr>
              <w:t>Społeczne mieszkania czynszowe</w:t>
            </w:r>
          </w:p>
        </w:tc>
        <w:tc>
          <w:tcPr>
            <w:tcW w:w="1276" w:type="dxa"/>
            <w:vMerge w:val="restart"/>
          </w:tcPr>
          <w:p w:rsidR="00EA530B" w:rsidRPr="00B371A0" w:rsidRDefault="00EA530B" w:rsidP="00BD5E54">
            <w:pPr>
              <w:spacing w:after="0"/>
              <w:jc w:val="both"/>
              <w:rPr>
                <w:rFonts w:ascii="Times New Roman" w:hAnsi="Times New Roman"/>
                <w:b/>
                <w:sz w:val="20"/>
                <w:szCs w:val="20"/>
              </w:rPr>
            </w:pPr>
            <w:r w:rsidRPr="00B371A0">
              <w:rPr>
                <w:rFonts w:ascii="Times New Roman" w:hAnsi="Times New Roman"/>
                <w:b/>
                <w:sz w:val="20"/>
                <w:szCs w:val="20"/>
              </w:rPr>
              <w:t>Komunalne</w:t>
            </w:r>
          </w:p>
        </w:tc>
        <w:tc>
          <w:tcPr>
            <w:tcW w:w="1276" w:type="dxa"/>
            <w:vMerge w:val="restart"/>
          </w:tcPr>
          <w:p w:rsidR="00EA530B" w:rsidRPr="00B371A0" w:rsidRDefault="00EA530B" w:rsidP="00BD5E54">
            <w:pPr>
              <w:spacing w:after="0"/>
              <w:jc w:val="both"/>
              <w:rPr>
                <w:rFonts w:ascii="Times New Roman" w:hAnsi="Times New Roman"/>
                <w:b/>
                <w:sz w:val="20"/>
                <w:szCs w:val="20"/>
              </w:rPr>
            </w:pPr>
            <w:r w:rsidRPr="00B371A0">
              <w:rPr>
                <w:rFonts w:ascii="Times New Roman" w:hAnsi="Times New Roman"/>
                <w:b/>
                <w:sz w:val="20"/>
                <w:szCs w:val="20"/>
              </w:rPr>
              <w:t>Spółdzielcze lokatorskie</w:t>
            </w:r>
          </w:p>
        </w:tc>
        <w:tc>
          <w:tcPr>
            <w:tcW w:w="1276" w:type="dxa"/>
            <w:vMerge w:val="restart"/>
          </w:tcPr>
          <w:p w:rsidR="00EA530B" w:rsidRPr="00B371A0" w:rsidRDefault="00EA530B" w:rsidP="00BD5E54">
            <w:pPr>
              <w:spacing w:after="0"/>
              <w:jc w:val="both"/>
              <w:rPr>
                <w:rFonts w:ascii="Times New Roman" w:hAnsi="Times New Roman"/>
                <w:b/>
                <w:sz w:val="20"/>
                <w:szCs w:val="20"/>
              </w:rPr>
            </w:pPr>
            <w:r w:rsidRPr="00B371A0">
              <w:rPr>
                <w:rFonts w:ascii="Times New Roman" w:hAnsi="Times New Roman"/>
                <w:b/>
                <w:sz w:val="20"/>
                <w:szCs w:val="20"/>
              </w:rPr>
              <w:t xml:space="preserve">Zakładowe </w:t>
            </w:r>
          </w:p>
        </w:tc>
        <w:tc>
          <w:tcPr>
            <w:tcW w:w="992" w:type="dxa"/>
            <w:vMerge w:val="restart"/>
          </w:tcPr>
          <w:p w:rsidR="00EA530B" w:rsidRPr="00B371A0" w:rsidRDefault="00EA530B" w:rsidP="00BD5E54">
            <w:pPr>
              <w:spacing w:after="0"/>
              <w:jc w:val="both"/>
              <w:rPr>
                <w:rFonts w:ascii="Times New Roman" w:hAnsi="Times New Roman"/>
                <w:b/>
                <w:sz w:val="20"/>
                <w:szCs w:val="20"/>
              </w:rPr>
            </w:pPr>
            <w:r w:rsidRPr="00B371A0">
              <w:rPr>
                <w:rFonts w:ascii="Times New Roman" w:hAnsi="Times New Roman"/>
                <w:b/>
                <w:sz w:val="20"/>
                <w:szCs w:val="20"/>
              </w:rPr>
              <w:t>Skarbu państwa</w:t>
            </w:r>
          </w:p>
        </w:tc>
        <w:tc>
          <w:tcPr>
            <w:tcW w:w="850" w:type="dxa"/>
            <w:vMerge w:val="restart"/>
          </w:tcPr>
          <w:p w:rsidR="00EA530B" w:rsidRPr="00B371A0" w:rsidRDefault="00EA530B" w:rsidP="00BD5E54">
            <w:pPr>
              <w:spacing w:after="0"/>
              <w:jc w:val="both"/>
              <w:rPr>
                <w:rFonts w:ascii="Times New Roman" w:hAnsi="Times New Roman"/>
                <w:b/>
                <w:sz w:val="20"/>
                <w:szCs w:val="20"/>
              </w:rPr>
            </w:pPr>
            <w:proofErr w:type="spellStart"/>
            <w:r w:rsidRPr="00B371A0">
              <w:rPr>
                <w:rFonts w:ascii="Times New Roman" w:hAnsi="Times New Roman"/>
                <w:b/>
                <w:sz w:val="20"/>
                <w:szCs w:val="20"/>
              </w:rPr>
              <w:t>Tbs</w:t>
            </w:r>
            <w:proofErr w:type="spellEnd"/>
            <w:r w:rsidRPr="00B371A0">
              <w:rPr>
                <w:rFonts w:ascii="Times New Roman" w:hAnsi="Times New Roman"/>
                <w:b/>
                <w:sz w:val="20"/>
                <w:szCs w:val="20"/>
              </w:rPr>
              <w:t>-y</w:t>
            </w:r>
          </w:p>
        </w:tc>
      </w:tr>
      <w:tr w:rsidR="00EA530B" w:rsidRPr="00B371A0" w:rsidTr="00BD5E54">
        <w:trPr>
          <w:trHeight w:val="268"/>
        </w:trPr>
        <w:tc>
          <w:tcPr>
            <w:tcW w:w="1242" w:type="dxa"/>
            <w:vMerge/>
          </w:tcPr>
          <w:p w:rsidR="00EA530B" w:rsidRPr="00B371A0" w:rsidRDefault="00EA530B" w:rsidP="00BD5E54">
            <w:pPr>
              <w:spacing w:after="0"/>
              <w:jc w:val="both"/>
              <w:rPr>
                <w:rFonts w:ascii="Times New Roman" w:hAnsi="Times New Roman"/>
                <w:b/>
                <w:sz w:val="20"/>
                <w:szCs w:val="20"/>
              </w:rPr>
            </w:pPr>
          </w:p>
        </w:tc>
        <w:tc>
          <w:tcPr>
            <w:tcW w:w="1275" w:type="dxa"/>
            <w:tcBorders>
              <w:top w:val="single" w:sz="4" w:space="0" w:color="auto"/>
              <w:right w:val="single" w:sz="4" w:space="0" w:color="auto"/>
            </w:tcBorders>
          </w:tcPr>
          <w:p w:rsidR="00EA530B" w:rsidRPr="00B371A0" w:rsidRDefault="00EA530B" w:rsidP="00BD5E54">
            <w:pPr>
              <w:spacing w:after="0"/>
              <w:jc w:val="center"/>
              <w:rPr>
                <w:rFonts w:ascii="Times New Roman" w:hAnsi="Times New Roman"/>
                <w:b/>
                <w:sz w:val="20"/>
                <w:szCs w:val="20"/>
              </w:rPr>
            </w:pPr>
            <w:r w:rsidRPr="00B371A0">
              <w:rPr>
                <w:rFonts w:ascii="Times New Roman" w:hAnsi="Times New Roman"/>
                <w:b/>
                <w:sz w:val="20"/>
                <w:szCs w:val="20"/>
              </w:rPr>
              <w:t>Ilość</w:t>
            </w:r>
          </w:p>
        </w:tc>
        <w:tc>
          <w:tcPr>
            <w:tcW w:w="993" w:type="dxa"/>
            <w:tcBorders>
              <w:top w:val="single" w:sz="4" w:space="0" w:color="auto"/>
              <w:left w:val="single" w:sz="4" w:space="0" w:color="auto"/>
            </w:tcBorders>
          </w:tcPr>
          <w:p w:rsidR="00EA530B" w:rsidRPr="00B371A0" w:rsidRDefault="00EA530B" w:rsidP="00BD5E54">
            <w:pPr>
              <w:spacing w:after="0"/>
              <w:jc w:val="center"/>
              <w:rPr>
                <w:rFonts w:ascii="Times New Roman" w:hAnsi="Times New Roman"/>
                <w:b/>
                <w:sz w:val="20"/>
                <w:szCs w:val="20"/>
              </w:rPr>
            </w:pPr>
            <w:r w:rsidRPr="00B371A0">
              <w:rPr>
                <w:rFonts w:ascii="Times New Roman" w:hAnsi="Times New Roman"/>
                <w:b/>
                <w:sz w:val="20"/>
                <w:szCs w:val="20"/>
              </w:rPr>
              <w:t>%</w:t>
            </w:r>
          </w:p>
        </w:tc>
        <w:tc>
          <w:tcPr>
            <w:tcW w:w="1276" w:type="dxa"/>
            <w:vMerge/>
          </w:tcPr>
          <w:p w:rsidR="00EA530B" w:rsidRPr="00B371A0" w:rsidRDefault="00EA530B" w:rsidP="00BD5E54">
            <w:pPr>
              <w:spacing w:after="0"/>
              <w:jc w:val="both"/>
              <w:rPr>
                <w:rFonts w:ascii="Times New Roman" w:hAnsi="Times New Roman"/>
                <w:b/>
                <w:sz w:val="20"/>
                <w:szCs w:val="20"/>
              </w:rPr>
            </w:pPr>
          </w:p>
        </w:tc>
        <w:tc>
          <w:tcPr>
            <w:tcW w:w="1276" w:type="dxa"/>
            <w:vMerge/>
          </w:tcPr>
          <w:p w:rsidR="00EA530B" w:rsidRPr="00B371A0" w:rsidRDefault="00EA530B" w:rsidP="00BD5E54">
            <w:pPr>
              <w:spacing w:after="0"/>
              <w:jc w:val="both"/>
              <w:rPr>
                <w:rFonts w:ascii="Times New Roman" w:hAnsi="Times New Roman"/>
                <w:b/>
                <w:sz w:val="20"/>
                <w:szCs w:val="20"/>
              </w:rPr>
            </w:pPr>
          </w:p>
        </w:tc>
        <w:tc>
          <w:tcPr>
            <w:tcW w:w="1276" w:type="dxa"/>
            <w:vMerge/>
          </w:tcPr>
          <w:p w:rsidR="00EA530B" w:rsidRPr="00B371A0" w:rsidRDefault="00EA530B" w:rsidP="00BD5E54">
            <w:pPr>
              <w:spacing w:after="0"/>
              <w:jc w:val="both"/>
              <w:rPr>
                <w:rFonts w:ascii="Times New Roman" w:hAnsi="Times New Roman"/>
                <w:b/>
                <w:sz w:val="20"/>
                <w:szCs w:val="20"/>
              </w:rPr>
            </w:pPr>
          </w:p>
        </w:tc>
        <w:tc>
          <w:tcPr>
            <w:tcW w:w="992" w:type="dxa"/>
            <w:vMerge/>
          </w:tcPr>
          <w:p w:rsidR="00EA530B" w:rsidRPr="00B371A0" w:rsidRDefault="00EA530B" w:rsidP="00BD5E54">
            <w:pPr>
              <w:spacing w:after="0"/>
              <w:jc w:val="both"/>
              <w:rPr>
                <w:rFonts w:ascii="Times New Roman" w:hAnsi="Times New Roman"/>
                <w:b/>
                <w:sz w:val="20"/>
                <w:szCs w:val="20"/>
              </w:rPr>
            </w:pPr>
          </w:p>
        </w:tc>
        <w:tc>
          <w:tcPr>
            <w:tcW w:w="850" w:type="dxa"/>
            <w:vMerge/>
          </w:tcPr>
          <w:p w:rsidR="00EA530B" w:rsidRPr="00B371A0" w:rsidRDefault="00EA530B" w:rsidP="00BD5E54">
            <w:pPr>
              <w:spacing w:after="0"/>
              <w:jc w:val="both"/>
              <w:rPr>
                <w:rFonts w:ascii="Times New Roman" w:hAnsi="Times New Roman"/>
                <w:b/>
                <w:sz w:val="20"/>
                <w:szCs w:val="20"/>
              </w:rPr>
            </w:pPr>
          </w:p>
        </w:tc>
      </w:tr>
      <w:tr w:rsidR="00EA530B" w:rsidRPr="00B371A0" w:rsidTr="00BD5E54">
        <w:tc>
          <w:tcPr>
            <w:tcW w:w="1242"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13,302</w:t>
            </w:r>
          </w:p>
        </w:tc>
        <w:tc>
          <w:tcPr>
            <w:tcW w:w="1276"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1,763</w:t>
            </w:r>
          </w:p>
        </w:tc>
        <w:tc>
          <w:tcPr>
            <w:tcW w:w="992"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13,3</w:t>
            </w:r>
          </w:p>
        </w:tc>
        <w:tc>
          <w:tcPr>
            <w:tcW w:w="1276"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1,063</w:t>
            </w:r>
          </w:p>
        </w:tc>
        <w:tc>
          <w:tcPr>
            <w:tcW w:w="1276"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0,432</w:t>
            </w:r>
          </w:p>
        </w:tc>
        <w:tc>
          <w:tcPr>
            <w:tcW w:w="1276"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0,132</w:t>
            </w:r>
          </w:p>
        </w:tc>
        <w:tc>
          <w:tcPr>
            <w:tcW w:w="992"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0,057</w:t>
            </w:r>
          </w:p>
        </w:tc>
        <w:tc>
          <w:tcPr>
            <w:tcW w:w="850" w:type="dxa"/>
          </w:tcPr>
          <w:p w:rsidR="00EA530B" w:rsidRPr="00B371A0" w:rsidRDefault="00EA530B" w:rsidP="00BD5E54">
            <w:pPr>
              <w:spacing w:after="0"/>
              <w:jc w:val="center"/>
              <w:rPr>
                <w:rFonts w:ascii="Times New Roman" w:hAnsi="Times New Roman"/>
                <w:sz w:val="20"/>
                <w:szCs w:val="20"/>
              </w:rPr>
            </w:pPr>
            <w:r w:rsidRPr="00B371A0">
              <w:rPr>
                <w:rFonts w:ascii="Times New Roman" w:hAnsi="Times New Roman"/>
                <w:sz w:val="20"/>
                <w:szCs w:val="20"/>
              </w:rPr>
              <w:t>0,079</w:t>
            </w:r>
          </w:p>
        </w:tc>
      </w:tr>
    </w:tbl>
    <w:p w:rsidR="00EA530B" w:rsidRDefault="00EA530B" w:rsidP="00A52941">
      <w:pPr>
        <w:spacing w:after="0"/>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r>
        <w:rPr>
          <w:rFonts w:ascii="Times New Roman" w:hAnsi="Times New Roman"/>
          <w:sz w:val="24"/>
          <w:szCs w:val="24"/>
        </w:rPr>
        <w:t>Polskie społeczne zasoby czynszowe spełniają więc w zasadzie zachodnie standardy ilościowe, gorzej jest natomiast z ich dostępnością dla ludzi o niskich dochodach, a także mobilnością, zablokowaną przez dodatkowe uprawnienia lokatorów (np. „dziedziczenie” mieszkań).</w:t>
      </w:r>
    </w:p>
    <w:p w:rsidR="00EA530B" w:rsidRDefault="00EA530B" w:rsidP="004A051B">
      <w:pPr>
        <w:spacing w:after="0"/>
        <w:ind w:firstLine="708"/>
        <w:jc w:val="both"/>
        <w:rPr>
          <w:rFonts w:ascii="Times New Roman" w:hAnsi="Times New Roman"/>
          <w:sz w:val="24"/>
          <w:szCs w:val="24"/>
        </w:rPr>
      </w:pPr>
    </w:p>
    <w:p w:rsidR="00EA530B" w:rsidRPr="006A5489" w:rsidRDefault="00EA530B" w:rsidP="006A5489">
      <w:pPr>
        <w:spacing w:after="0"/>
        <w:jc w:val="both"/>
        <w:rPr>
          <w:rFonts w:ascii="Times New Roman" w:hAnsi="Times New Roman"/>
          <w:b/>
          <w:sz w:val="28"/>
          <w:szCs w:val="28"/>
        </w:rPr>
      </w:pPr>
      <w:r w:rsidRPr="006A5489">
        <w:rPr>
          <w:rFonts w:ascii="Times New Roman" w:hAnsi="Times New Roman"/>
          <w:b/>
          <w:sz w:val="28"/>
          <w:szCs w:val="28"/>
        </w:rPr>
        <w:t>Za mało pieniędzy</w:t>
      </w: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r>
        <w:rPr>
          <w:rFonts w:ascii="Times New Roman" w:hAnsi="Times New Roman"/>
          <w:sz w:val="24"/>
          <w:szCs w:val="24"/>
        </w:rPr>
        <w:t xml:space="preserve">Wydaje się, że aktualne projekty zmian w polskiej polityce mieszkaniowej biorą pod uwagę te fakty, jako że próbuje się uporządkować sytuację w liczącym ponad 1 milion mieszkań zasobie komunalnym. Proponowane zmiany, choć niewielkie budzą już sporo kontrowersji. Pewnie lepiej byłoby rozbudowywać, wyhamowane ostatnio </w:t>
      </w:r>
      <w:proofErr w:type="spellStart"/>
      <w:r>
        <w:rPr>
          <w:rFonts w:ascii="Times New Roman" w:hAnsi="Times New Roman"/>
          <w:sz w:val="24"/>
          <w:szCs w:val="24"/>
        </w:rPr>
        <w:t>tbs</w:t>
      </w:r>
      <w:proofErr w:type="spellEnd"/>
      <w:r>
        <w:rPr>
          <w:rFonts w:ascii="Times New Roman" w:hAnsi="Times New Roman"/>
          <w:sz w:val="24"/>
          <w:szCs w:val="24"/>
        </w:rPr>
        <w:t>-y, ale to niestety  wymagałoby zaangażowania środków finansowych, na co w aktualnej sytuacji finansowej państwa trudno liczyć. Podejmowane są też działania mające na celu rozwój prywatnego zasobu czynszowego. Niestety i tu można mówić jedynie o półśrodkach. Wprowadzony niedawno najem okazjonalny jest obliczony nie tyle na zachętę do inwestowania w budownictwo na wynajem, co na częściowe choćby wydobycie go z szarej strefy.</w:t>
      </w: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r>
        <w:rPr>
          <w:rFonts w:ascii="Times New Roman" w:hAnsi="Times New Roman"/>
          <w:sz w:val="24"/>
          <w:szCs w:val="24"/>
        </w:rPr>
        <w:t>Problemem polskiej polityki mieszkaniowej jest niestety ciągle szczupłość środków, jakie się na nią przeznacza. Ta redukcja środków na budownictwo, niech nie zmyli nas ostatnie zwiększenie mieszkaniowe budżetu związane ze „sztywnymi” wydatkami na rodzinę na swoim” i premie gwarancyjne, zgodna jest zresztą z tendencjami jakie pojawiły się w latach 80. w Europie Zachodniej. Europa jednak mogła sobie na to pozwolić, bo tam zasoby społecznego budownictwa czynszowego intensywnie budowano w latach 60. i 70. W okresie tym w większości państw budowano ok. 10 mieszkań na tysiąc mieszkańców, z czego nierzadko większość dla gospodarstw domowych o niskich dochodach. W Polsce w ostatnim okresie buduje się co prawda ok. 4 mieszkań na 1000 mieszkańców, ale tylko 5% z tego stanowią mieszkania dla rodzin niezamożnych i średniozamożnych. Nie ulega więc wątpliwości, że osiągnięcie zachodnich standardów mieszkaniowych wymaga bardziej zdecydowanych działań.</w:t>
      </w: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p w:rsidR="00EA530B" w:rsidRDefault="00EA530B" w:rsidP="004A051B">
      <w:pPr>
        <w:spacing w:after="0"/>
        <w:ind w:firstLine="708"/>
        <w:jc w:val="both"/>
        <w:rPr>
          <w:rFonts w:ascii="Times New Roman" w:hAnsi="Times New Roman"/>
          <w:sz w:val="24"/>
          <w:szCs w:val="24"/>
        </w:rPr>
      </w:pPr>
    </w:p>
    <w:sectPr w:rsidR="00EA530B" w:rsidSect="003E1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0B" w:rsidRDefault="00EA530B" w:rsidP="002C42ED">
      <w:pPr>
        <w:spacing w:after="0" w:line="240" w:lineRule="auto"/>
      </w:pPr>
      <w:r>
        <w:separator/>
      </w:r>
    </w:p>
  </w:endnote>
  <w:endnote w:type="continuationSeparator" w:id="0">
    <w:p w:rsidR="00EA530B" w:rsidRDefault="00EA530B" w:rsidP="002C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0B" w:rsidRDefault="00EA530B" w:rsidP="002C42ED">
      <w:pPr>
        <w:spacing w:after="0" w:line="240" w:lineRule="auto"/>
      </w:pPr>
      <w:r>
        <w:separator/>
      </w:r>
    </w:p>
  </w:footnote>
  <w:footnote w:type="continuationSeparator" w:id="0">
    <w:p w:rsidR="00EA530B" w:rsidRDefault="00EA530B" w:rsidP="002C4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FB6"/>
    <w:rsid w:val="00003921"/>
    <w:rsid w:val="00112A64"/>
    <w:rsid w:val="001737A6"/>
    <w:rsid w:val="001B2F16"/>
    <w:rsid w:val="002C42ED"/>
    <w:rsid w:val="003E1BBB"/>
    <w:rsid w:val="003F108E"/>
    <w:rsid w:val="00435DAF"/>
    <w:rsid w:val="004A051B"/>
    <w:rsid w:val="00607CC5"/>
    <w:rsid w:val="006328CE"/>
    <w:rsid w:val="006A5489"/>
    <w:rsid w:val="006E1721"/>
    <w:rsid w:val="00764749"/>
    <w:rsid w:val="00842949"/>
    <w:rsid w:val="00856545"/>
    <w:rsid w:val="009605EC"/>
    <w:rsid w:val="00A47FB6"/>
    <w:rsid w:val="00A52941"/>
    <w:rsid w:val="00AC6A29"/>
    <w:rsid w:val="00B054A1"/>
    <w:rsid w:val="00B371A0"/>
    <w:rsid w:val="00B42C7E"/>
    <w:rsid w:val="00B641D1"/>
    <w:rsid w:val="00BD5E54"/>
    <w:rsid w:val="00DA2A6B"/>
    <w:rsid w:val="00E04C01"/>
    <w:rsid w:val="00E57022"/>
    <w:rsid w:val="00EA4762"/>
    <w:rsid w:val="00EA530B"/>
    <w:rsid w:val="00F34402"/>
    <w:rsid w:val="00F422DF"/>
    <w:rsid w:val="00F83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BBB"/>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2C42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C42ED"/>
    <w:rPr>
      <w:rFonts w:cs="Times New Roman"/>
      <w:sz w:val="20"/>
      <w:szCs w:val="20"/>
    </w:rPr>
  </w:style>
  <w:style w:type="character" w:styleId="Odwoanieprzypisukocowego">
    <w:name w:val="endnote reference"/>
    <w:basedOn w:val="Domylnaczcionkaakapitu"/>
    <w:uiPriority w:val="99"/>
    <w:semiHidden/>
    <w:rsid w:val="002C42E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6274</Characters>
  <Application>Microsoft Office Word</Application>
  <DocSecurity>0</DocSecurity>
  <Lines>52</Lines>
  <Paragraphs>14</Paragraphs>
  <ScaleCrop>false</ScaleCrop>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Jacek Życiński</dc:title>
  <dc:subject/>
  <dc:creator>jzycinski</dc:creator>
  <cp:keywords/>
  <dc:description/>
  <cp:lastModifiedBy>user</cp:lastModifiedBy>
  <cp:revision>3</cp:revision>
  <dcterms:created xsi:type="dcterms:W3CDTF">2011-05-11T16:13:00Z</dcterms:created>
  <dcterms:modified xsi:type="dcterms:W3CDTF">2011-05-16T10:19:00Z</dcterms:modified>
</cp:coreProperties>
</file>